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36" w:rsidRPr="00897B31" w:rsidRDefault="00637636" w:rsidP="00637636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897B31">
        <w:rPr>
          <w:b/>
          <w:sz w:val="36"/>
          <w:szCs w:val="36"/>
        </w:rPr>
        <w:t>О Т Ч Е Т</w:t>
      </w:r>
    </w:p>
    <w:p w:rsidR="00637636" w:rsidRPr="00897B31" w:rsidRDefault="00637636" w:rsidP="00637636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897B31">
        <w:rPr>
          <w:b/>
          <w:sz w:val="36"/>
          <w:szCs w:val="36"/>
        </w:rPr>
        <w:t>о работе Ульяновского регионального фонда поручительств</w:t>
      </w:r>
      <w:r>
        <w:rPr>
          <w:b/>
          <w:sz w:val="36"/>
          <w:szCs w:val="36"/>
        </w:rPr>
        <w:t xml:space="preserve">  </w:t>
      </w:r>
      <w:r w:rsidRPr="00897B31">
        <w:rPr>
          <w:b/>
          <w:sz w:val="36"/>
          <w:szCs w:val="36"/>
        </w:rPr>
        <w:t xml:space="preserve">за  </w:t>
      </w:r>
      <w:r w:rsidR="00EE3AA0">
        <w:rPr>
          <w:b/>
          <w:sz w:val="36"/>
          <w:szCs w:val="36"/>
        </w:rPr>
        <w:t>6</w:t>
      </w:r>
      <w:r w:rsidR="00CC76DD">
        <w:rPr>
          <w:b/>
          <w:sz w:val="36"/>
          <w:szCs w:val="36"/>
        </w:rPr>
        <w:t xml:space="preserve"> месяц</w:t>
      </w:r>
      <w:r w:rsidR="00EE3AA0">
        <w:rPr>
          <w:b/>
          <w:sz w:val="36"/>
          <w:szCs w:val="36"/>
        </w:rPr>
        <w:t>ев</w:t>
      </w:r>
      <w:r w:rsidR="00CC76DD">
        <w:rPr>
          <w:b/>
          <w:sz w:val="36"/>
          <w:szCs w:val="36"/>
        </w:rPr>
        <w:t xml:space="preserve"> </w:t>
      </w:r>
      <w:r w:rsidRPr="00897B31">
        <w:rPr>
          <w:b/>
          <w:sz w:val="36"/>
          <w:szCs w:val="36"/>
        </w:rPr>
        <w:t>201</w:t>
      </w:r>
      <w:r w:rsidR="00CC76DD">
        <w:rPr>
          <w:b/>
          <w:sz w:val="36"/>
          <w:szCs w:val="36"/>
        </w:rPr>
        <w:t>5</w:t>
      </w:r>
      <w:r w:rsidRPr="00897B31">
        <w:rPr>
          <w:b/>
          <w:sz w:val="36"/>
          <w:szCs w:val="36"/>
        </w:rPr>
        <w:t xml:space="preserve"> г.</w:t>
      </w:r>
    </w:p>
    <w:p w:rsidR="00637636" w:rsidRDefault="00637636" w:rsidP="00637636">
      <w:pPr>
        <w:pStyle w:val="1"/>
        <w:ind w:left="900"/>
        <w:jc w:val="both"/>
        <w:rPr>
          <w:b/>
          <w:bCs/>
        </w:rPr>
      </w:pPr>
    </w:p>
    <w:p w:rsidR="00637636" w:rsidRPr="0032042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320422">
        <w:rPr>
          <w:bCs/>
          <w:sz w:val="22"/>
          <w:szCs w:val="22"/>
        </w:rPr>
        <w:t>15 апреля 2009 г.</w:t>
      </w:r>
      <w:r w:rsidRPr="00320422">
        <w:rPr>
          <w:sz w:val="22"/>
          <w:szCs w:val="22"/>
        </w:rPr>
        <w:t xml:space="preserve"> в Ульяновской области создан </w:t>
      </w:r>
      <w:r w:rsidRPr="00320422">
        <w:rPr>
          <w:bCs/>
          <w:sz w:val="22"/>
          <w:szCs w:val="22"/>
        </w:rPr>
        <w:t xml:space="preserve">Фонд «Ульяновский региональный фонд поручительств».  </w:t>
      </w:r>
    </w:p>
    <w:p w:rsidR="00637636" w:rsidRPr="0032042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320422">
        <w:rPr>
          <w:bCs/>
          <w:sz w:val="22"/>
          <w:szCs w:val="22"/>
        </w:rPr>
        <w:t>В декабре 2012 г.</w:t>
      </w:r>
      <w:r w:rsidRPr="00320422">
        <w:rPr>
          <w:b/>
          <w:bCs/>
          <w:sz w:val="22"/>
          <w:szCs w:val="22"/>
        </w:rPr>
        <w:t xml:space="preserve">  </w:t>
      </w:r>
      <w:r w:rsidRPr="00320422">
        <w:rPr>
          <w:bCs/>
          <w:sz w:val="22"/>
          <w:szCs w:val="22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</w:p>
    <w:p w:rsidR="00637636" w:rsidRPr="00320422" w:rsidRDefault="00637636" w:rsidP="00637636">
      <w:pPr>
        <w:spacing w:line="360" w:lineRule="auto"/>
        <w:ind w:firstLine="540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 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320422" w:rsidRDefault="006376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320422">
        <w:rPr>
          <w:sz w:val="22"/>
          <w:szCs w:val="22"/>
        </w:rPr>
        <w:t>Количество финансовых организаций, с которыми Фонд заключил соглашения по предоставл</w:t>
      </w:r>
      <w:r w:rsidR="009918A6">
        <w:rPr>
          <w:sz w:val="22"/>
          <w:szCs w:val="22"/>
        </w:rPr>
        <w:t>ению поручительств, составляет 21</w:t>
      </w:r>
      <w:r w:rsidRPr="00320422">
        <w:rPr>
          <w:sz w:val="22"/>
          <w:szCs w:val="22"/>
        </w:rPr>
        <w:t xml:space="preserve"> в т.ч. </w:t>
      </w:r>
      <w:r w:rsidR="009918A6">
        <w:rPr>
          <w:sz w:val="22"/>
          <w:szCs w:val="22"/>
        </w:rPr>
        <w:t>18</w:t>
      </w:r>
      <w:r w:rsidRPr="00320422">
        <w:rPr>
          <w:sz w:val="22"/>
          <w:szCs w:val="22"/>
        </w:rPr>
        <w:t xml:space="preserve"> банков, </w:t>
      </w:r>
      <w:r w:rsidR="00135936">
        <w:rPr>
          <w:sz w:val="22"/>
          <w:szCs w:val="22"/>
        </w:rPr>
        <w:t>3</w:t>
      </w:r>
      <w:r w:rsidRPr="00320422">
        <w:rPr>
          <w:sz w:val="22"/>
          <w:szCs w:val="22"/>
        </w:rPr>
        <w:t xml:space="preserve"> лизингов</w:t>
      </w:r>
      <w:r w:rsidR="009918A6">
        <w:rPr>
          <w:sz w:val="22"/>
          <w:szCs w:val="22"/>
        </w:rPr>
        <w:t>ые</w:t>
      </w:r>
      <w:r w:rsidRPr="00320422">
        <w:rPr>
          <w:sz w:val="22"/>
          <w:szCs w:val="22"/>
        </w:rPr>
        <w:t xml:space="preserve"> компани</w:t>
      </w:r>
      <w:r w:rsidR="009918A6">
        <w:rPr>
          <w:sz w:val="22"/>
          <w:szCs w:val="22"/>
        </w:rPr>
        <w:t>и</w:t>
      </w:r>
      <w:r w:rsidRPr="00320422">
        <w:rPr>
          <w:sz w:val="22"/>
          <w:szCs w:val="22"/>
        </w:rPr>
        <w:t xml:space="preserve">, 1 </w:t>
      </w:r>
      <w:proofErr w:type="spellStart"/>
      <w:r w:rsidRPr="00320422">
        <w:rPr>
          <w:sz w:val="22"/>
          <w:szCs w:val="22"/>
        </w:rPr>
        <w:t>микрофинансовая</w:t>
      </w:r>
      <w:proofErr w:type="spellEnd"/>
      <w:r w:rsidRPr="00320422">
        <w:rPr>
          <w:sz w:val="22"/>
          <w:szCs w:val="22"/>
        </w:rPr>
        <w:t xml:space="preserve"> организация:</w:t>
      </w:r>
    </w:p>
    <w:p w:rsidR="00637636" w:rsidRPr="00320422" w:rsidRDefault="00637636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320422">
        <w:rPr>
          <w:b/>
          <w:sz w:val="22"/>
          <w:szCs w:val="22"/>
        </w:rPr>
        <w:t>БАНКИ:</w:t>
      </w:r>
    </w:p>
    <w:p w:rsidR="00637636" w:rsidRPr="00320422" w:rsidRDefault="00637636" w:rsidP="00637636">
      <w:pPr>
        <w:ind w:firstLine="709"/>
        <w:jc w:val="both"/>
        <w:rPr>
          <w:sz w:val="22"/>
          <w:szCs w:val="22"/>
        </w:rPr>
      </w:pPr>
      <w:r w:rsidRPr="00320422">
        <w:rPr>
          <w:sz w:val="22"/>
          <w:szCs w:val="22"/>
        </w:rPr>
        <w:t>- ОАО СБЕРБАНК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ОАО  "Первый Объединенный Банк"</w:t>
      </w:r>
    </w:p>
    <w:p w:rsidR="00637636" w:rsidRPr="00320422" w:rsidRDefault="00637636" w:rsidP="00637636">
      <w:pPr>
        <w:tabs>
          <w:tab w:val="left" w:pos="720"/>
        </w:tabs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ОАО «</w:t>
      </w:r>
      <w:proofErr w:type="spellStart"/>
      <w:r w:rsidRPr="00320422">
        <w:rPr>
          <w:bCs/>
          <w:color w:val="000000"/>
          <w:sz w:val="22"/>
          <w:szCs w:val="22"/>
        </w:rPr>
        <w:t>Россельхозбанк</w:t>
      </w:r>
      <w:proofErr w:type="spellEnd"/>
      <w:r w:rsidRPr="00320422">
        <w:rPr>
          <w:bCs/>
          <w:color w:val="000000"/>
          <w:sz w:val="22"/>
          <w:szCs w:val="22"/>
        </w:rPr>
        <w:t>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ОАО «</w:t>
      </w:r>
      <w:proofErr w:type="spellStart"/>
      <w:r w:rsidRPr="00320422">
        <w:rPr>
          <w:bCs/>
          <w:color w:val="000000"/>
          <w:sz w:val="22"/>
          <w:szCs w:val="22"/>
        </w:rPr>
        <w:t>Росгосстрах-банк</w:t>
      </w:r>
      <w:proofErr w:type="spellEnd"/>
      <w:r w:rsidRPr="00320422">
        <w:rPr>
          <w:bCs/>
          <w:color w:val="000000"/>
          <w:sz w:val="22"/>
          <w:szCs w:val="22"/>
        </w:rPr>
        <w:t>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ОАО «БИНБАНК»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ЗАО «ВТБ 24»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ООО «</w:t>
      </w:r>
      <w:proofErr w:type="spellStart"/>
      <w:r w:rsidRPr="00320422">
        <w:rPr>
          <w:bCs/>
          <w:color w:val="000000"/>
          <w:sz w:val="22"/>
          <w:szCs w:val="22"/>
        </w:rPr>
        <w:t>Юниаструмбанк</w:t>
      </w:r>
      <w:proofErr w:type="spellEnd"/>
      <w:r w:rsidRPr="00320422">
        <w:rPr>
          <w:bCs/>
          <w:color w:val="000000"/>
          <w:sz w:val="22"/>
          <w:szCs w:val="22"/>
        </w:rPr>
        <w:t>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ЗАО «Венец»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ОАО «АК Барс банк»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ОАО «Банк Открытие»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ЗАО «Экспресс-волга»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ОАО «Банк Невский»</w:t>
      </w:r>
    </w:p>
    <w:p w:rsidR="00637636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ОАО «</w:t>
      </w:r>
      <w:proofErr w:type="spellStart"/>
      <w:r w:rsidRPr="00320422">
        <w:rPr>
          <w:bCs/>
          <w:color w:val="000000"/>
          <w:sz w:val="22"/>
          <w:szCs w:val="22"/>
        </w:rPr>
        <w:t>Автовазбанк</w:t>
      </w:r>
      <w:proofErr w:type="spellEnd"/>
      <w:r w:rsidRPr="00320422">
        <w:rPr>
          <w:bCs/>
          <w:color w:val="000000"/>
          <w:sz w:val="22"/>
          <w:szCs w:val="22"/>
        </w:rPr>
        <w:t>»</w:t>
      </w:r>
    </w:p>
    <w:p w:rsidR="009918A6" w:rsidRDefault="009918A6" w:rsidP="00637636">
      <w:pPr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ОАО «ГАЗПРОМБАНК»</w:t>
      </w:r>
    </w:p>
    <w:p w:rsidR="009918A6" w:rsidRDefault="009918A6" w:rsidP="00637636">
      <w:pPr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ОАО «Связь-Банк»</w:t>
      </w:r>
    </w:p>
    <w:p w:rsidR="009918A6" w:rsidRDefault="009918A6" w:rsidP="00637636">
      <w:pPr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ОАО «Уральский банк развития и реконструкции»</w:t>
      </w:r>
    </w:p>
    <w:p w:rsidR="009918A6" w:rsidRDefault="009918A6" w:rsidP="00637636">
      <w:pPr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ЗАО «РТС-Банк»</w:t>
      </w:r>
    </w:p>
    <w:p w:rsidR="009918A6" w:rsidRPr="00320422" w:rsidRDefault="009918A6" w:rsidP="009918A6">
      <w:pPr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</w:t>
      </w:r>
      <w:r w:rsidRPr="00320422">
        <w:rPr>
          <w:sz w:val="22"/>
          <w:szCs w:val="22"/>
        </w:rPr>
        <w:t>- ОАО «ФИА-БАНК»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</w:p>
    <w:p w:rsidR="00637636" w:rsidRPr="00320422" w:rsidRDefault="00637636" w:rsidP="00637636">
      <w:pPr>
        <w:ind w:firstLine="709"/>
        <w:jc w:val="both"/>
        <w:rPr>
          <w:b/>
          <w:bCs/>
          <w:color w:val="000000"/>
          <w:sz w:val="22"/>
          <w:szCs w:val="22"/>
        </w:rPr>
      </w:pPr>
      <w:r w:rsidRPr="00320422">
        <w:rPr>
          <w:b/>
          <w:bCs/>
          <w:color w:val="000000"/>
          <w:sz w:val="22"/>
          <w:szCs w:val="22"/>
        </w:rPr>
        <w:t>Лизинговые компании:</w:t>
      </w:r>
    </w:p>
    <w:p w:rsidR="00637636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ООО «Тол</w:t>
      </w:r>
      <w:r w:rsidR="009918A6">
        <w:rPr>
          <w:bCs/>
          <w:color w:val="000000"/>
          <w:sz w:val="22"/>
          <w:szCs w:val="22"/>
        </w:rPr>
        <w:t>ьяттинская лизинговая компания»</w:t>
      </w:r>
    </w:p>
    <w:p w:rsidR="009918A6" w:rsidRDefault="009918A6" w:rsidP="00637636">
      <w:pPr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ЗАО «ЛК «МСП Пенза»</w:t>
      </w:r>
    </w:p>
    <w:p w:rsidR="00135936" w:rsidRDefault="00135936" w:rsidP="00637636">
      <w:pPr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="00054920">
        <w:rPr>
          <w:bCs/>
          <w:color w:val="000000"/>
          <w:sz w:val="22"/>
          <w:szCs w:val="22"/>
        </w:rPr>
        <w:t>ЗАО «ВЭМ лизинг»</w:t>
      </w:r>
    </w:p>
    <w:p w:rsidR="00EE3AA0" w:rsidRPr="00320422" w:rsidRDefault="00EE3AA0" w:rsidP="00637636">
      <w:pPr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ПАО «Лизинговая компания «МСП Ульяновск»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</w:p>
    <w:p w:rsidR="00637636" w:rsidRPr="00320422" w:rsidRDefault="00637636" w:rsidP="00637636">
      <w:pPr>
        <w:ind w:firstLine="709"/>
        <w:jc w:val="both"/>
        <w:rPr>
          <w:b/>
          <w:bCs/>
          <w:color w:val="000000"/>
          <w:sz w:val="22"/>
          <w:szCs w:val="22"/>
        </w:rPr>
      </w:pPr>
      <w:proofErr w:type="spellStart"/>
      <w:r w:rsidRPr="00320422">
        <w:rPr>
          <w:b/>
          <w:bCs/>
          <w:color w:val="000000"/>
          <w:sz w:val="22"/>
          <w:szCs w:val="22"/>
        </w:rPr>
        <w:t>Микрофинансовые</w:t>
      </w:r>
      <w:proofErr w:type="spellEnd"/>
      <w:r w:rsidRPr="00320422">
        <w:rPr>
          <w:b/>
          <w:bCs/>
          <w:color w:val="000000"/>
          <w:sz w:val="22"/>
          <w:szCs w:val="22"/>
        </w:rPr>
        <w:t xml:space="preserve"> организации:</w:t>
      </w:r>
    </w:p>
    <w:p w:rsidR="00637636" w:rsidRPr="00320422" w:rsidRDefault="00637636" w:rsidP="00637636">
      <w:pPr>
        <w:ind w:firstLine="709"/>
        <w:jc w:val="both"/>
        <w:rPr>
          <w:bCs/>
          <w:color w:val="000000"/>
          <w:sz w:val="22"/>
          <w:szCs w:val="22"/>
        </w:rPr>
      </w:pPr>
      <w:r w:rsidRPr="00320422">
        <w:rPr>
          <w:bCs/>
          <w:color w:val="000000"/>
          <w:sz w:val="22"/>
          <w:szCs w:val="22"/>
        </w:rPr>
        <w:t>- Фонд «Корпорация по развитию предпринимательства Ульяновской области».</w:t>
      </w:r>
    </w:p>
    <w:p w:rsidR="00637636" w:rsidRPr="00320422" w:rsidRDefault="00637636" w:rsidP="00637636">
      <w:pPr>
        <w:spacing w:line="360" w:lineRule="auto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   </w:t>
      </w:r>
    </w:p>
    <w:p w:rsidR="00637636" w:rsidRPr="00320422" w:rsidRDefault="00637636" w:rsidP="00637636">
      <w:pPr>
        <w:spacing w:line="360" w:lineRule="auto"/>
        <w:jc w:val="both"/>
        <w:rPr>
          <w:b/>
          <w:bCs/>
          <w:sz w:val="22"/>
          <w:szCs w:val="22"/>
        </w:rPr>
      </w:pPr>
      <w:r w:rsidRPr="00320422">
        <w:rPr>
          <w:sz w:val="22"/>
          <w:szCs w:val="22"/>
        </w:rPr>
        <w:t xml:space="preserve"> В период с июля 2009 г. по настоящее время Фонд принял на себя обязательств на </w:t>
      </w:r>
      <w:r w:rsidRPr="00693ADE">
        <w:rPr>
          <w:sz w:val="22"/>
          <w:szCs w:val="22"/>
        </w:rPr>
        <w:t xml:space="preserve">сумму </w:t>
      </w:r>
      <w:r w:rsidR="00693ADE" w:rsidRPr="00693ADE">
        <w:rPr>
          <w:b/>
          <w:bCs/>
          <w:sz w:val="22"/>
          <w:szCs w:val="22"/>
        </w:rPr>
        <w:t>1 </w:t>
      </w:r>
      <w:r w:rsidR="00EE3AA0">
        <w:rPr>
          <w:b/>
          <w:bCs/>
          <w:sz w:val="22"/>
          <w:szCs w:val="22"/>
        </w:rPr>
        <w:t>109</w:t>
      </w:r>
      <w:r w:rsidR="00693ADE" w:rsidRPr="00693ADE">
        <w:rPr>
          <w:b/>
          <w:bCs/>
          <w:sz w:val="22"/>
          <w:szCs w:val="22"/>
        </w:rPr>
        <w:t>,</w:t>
      </w:r>
      <w:r w:rsidR="00EE3AA0">
        <w:rPr>
          <w:b/>
          <w:bCs/>
          <w:sz w:val="22"/>
          <w:szCs w:val="22"/>
        </w:rPr>
        <w:t>7</w:t>
      </w:r>
      <w:r w:rsidRPr="00693ADE">
        <w:rPr>
          <w:b/>
          <w:bCs/>
          <w:sz w:val="22"/>
          <w:szCs w:val="22"/>
        </w:rPr>
        <w:t xml:space="preserve"> млн</w:t>
      </w:r>
      <w:proofErr w:type="gramStart"/>
      <w:r w:rsidRPr="00693ADE">
        <w:rPr>
          <w:b/>
          <w:bCs/>
          <w:sz w:val="22"/>
          <w:szCs w:val="22"/>
        </w:rPr>
        <w:t>.р</w:t>
      </w:r>
      <w:proofErr w:type="gramEnd"/>
      <w:r w:rsidRPr="00693ADE">
        <w:rPr>
          <w:b/>
          <w:bCs/>
          <w:sz w:val="22"/>
          <w:szCs w:val="22"/>
        </w:rPr>
        <w:t>уб.</w:t>
      </w:r>
      <w:r w:rsidRPr="00693ADE">
        <w:rPr>
          <w:b/>
          <w:sz w:val="22"/>
          <w:szCs w:val="22"/>
        </w:rPr>
        <w:t xml:space="preserve"> </w:t>
      </w:r>
      <w:r w:rsidRPr="00693ADE">
        <w:rPr>
          <w:sz w:val="22"/>
          <w:szCs w:val="22"/>
        </w:rPr>
        <w:t xml:space="preserve">по </w:t>
      </w:r>
      <w:r w:rsidR="00693ADE" w:rsidRPr="00693ADE">
        <w:rPr>
          <w:b/>
          <w:bCs/>
          <w:sz w:val="22"/>
          <w:szCs w:val="22"/>
        </w:rPr>
        <w:t>4</w:t>
      </w:r>
      <w:r w:rsidR="00EE3AA0">
        <w:rPr>
          <w:b/>
          <w:bCs/>
          <w:sz w:val="22"/>
          <w:szCs w:val="22"/>
        </w:rPr>
        <w:t>72</w:t>
      </w:r>
      <w:r w:rsidRPr="00693ADE">
        <w:rPr>
          <w:sz w:val="22"/>
          <w:szCs w:val="22"/>
        </w:rPr>
        <w:t xml:space="preserve"> кредитам, выданным банками-партнерами Фонда субъектам малого и среднего пр</w:t>
      </w:r>
      <w:r w:rsidRPr="00320422">
        <w:rPr>
          <w:sz w:val="22"/>
          <w:szCs w:val="22"/>
        </w:rPr>
        <w:t xml:space="preserve">едпринимательства и банковским гарантиям. Объем банковских ресурсов, привлеченных для развития малого и среднего бизнеса под обеспечение Фонда, </w:t>
      </w:r>
      <w:r w:rsidRPr="0072383E">
        <w:rPr>
          <w:sz w:val="22"/>
          <w:szCs w:val="22"/>
        </w:rPr>
        <w:t xml:space="preserve">составил </w:t>
      </w:r>
      <w:r w:rsidR="0072383E" w:rsidRPr="0072383E">
        <w:rPr>
          <w:b/>
          <w:bCs/>
          <w:sz w:val="22"/>
          <w:szCs w:val="22"/>
        </w:rPr>
        <w:t>2 </w:t>
      </w:r>
      <w:r w:rsidR="00054920">
        <w:rPr>
          <w:b/>
          <w:bCs/>
          <w:sz w:val="22"/>
          <w:szCs w:val="22"/>
        </w:rPr>
        <w:t>3</w:t>
      </w:r>
      <w:r w:rsidR="00EE3AA0">
        <w:rPr>
          <w:b/>
          <w:bCs/>
          <w:sz w:val="22"/>
          <w:szCs w:val="22"/>
        </w:rPr>
        <w:t>7</w:t>
      </w:r>
      <w:r w:rsidR="00054920">
        <w:rPr>
          <w:b/>
          <w:bCs/>
          <w:sz w:val="22"/>
          <w:szCs w:val="22"/>
        </w:rPr>
        <w:t>8</w:t>
      </w:r>
      <w:r w:rsidR="0072383E" w:rsidRPr="0072383E">
        <w:rPr>
          <w:b/>
          <w:bCs/>
          <w:sz w:val="22"/>
          <w:szCs w:val="22"/>
        </w:rPr>
        <w:t>,</w:t>
      </w:r>
      <w:r w:rsidR="00EE3AA0">
        <w:rPr>
          <w:b/>
          <w:bCs/>
          <w:sz w:val="22"/>
          <w:szCs w:val="22"/>
        </w:rPr>
        <w:t>1</w:t>
      </w:r>
      <w:r w:rsidRPr="0072383E">
        <w:rPr>
          <w:b/>
          <w:bCs/>
          <w:sz w:val="22"/>
          <w:szCs w:val="22"/>
        </w:rPr>
        <w:t xml:space="preserve"> </w:t>
      </w:r>
      <w:proofErr w:type="spellStart"/>
      <w:r w:rsidRPr="0072383E">
        <w:rPr>
          <w:b/>
          <w:bCs/>
          <w:sz w:val="22"/>
          <w:szCs w:val="22"/>
        </w:rPr>
        <w:t>млн</w:t>
      </w:r>
      <w:proofErr w:type="gramStart"/>
      <w:r w:rsidRPr="0072383E">
        <w:rPr>
          <w:b/>
          <w:bCs/>
          <w:sz w:val="22"/>
          <w:szCs w:val="22"/>
        </w:rPr>
        <w:t>.р</w:t>
      </w:r>
      <w:proofErr w:type="gramEnd"/>
      <w:r w:rsidRPr="0072383E">
        <w:rPr>
          <w:b/>
          <w:bCs/>
          <w:sz w:val="22"/>
          <w:szCs w:val="22"/>
        </w:rPr>
        <w:t>уб</w:t>
      </w:r>
      <w:proofErr w:type="spellEnd"/>
      <w:r w:rsidRPr="0072383E">
        <w:rPr>
          <w:b/>
          <w:bCs/>
          <w:sz w:val="22"/>
          <w:szCs w:val="22"/>
        </w:rPr>
        <w:t>:</w:t>
      </w:r>
      <w:r w:rsidRPr="00320422">
        <w:rPr>
          <w:b/>
          <w:bCs/>
          <w:sz w:val="22"/>
          <w:szCs w:val="22"/>
        </w:rPr>
        <w:t xml:space="preserve"> </w:t>
      </w:r>
    </w:p>
    <w:p w:rsidR="00637636" w:rsidRDefault="00637636" w:rsidP="00637636">
      <w:pPr>
        <w:spacing w:line="360" w:lineRule="auto"/>
        <w:jc w:val="both"/>
        <w:rPr>
          <w:sz w:val="22"/>
          <w:szCs w:val="22"/>
        </w:rPr>
      </w:pPr>
    </w:p>
    <w:p w:rsidR="00320422" w:rsidRDefault="00320422" w:rsidP="00637636">
      <w:pPr>
        <w:spacing w:line="360" w:lineRule="auto"/>
        <w:jc w:val="both"/>
        <w:rPr>
          <w:sz w:val="22"/>
          <w:szCs w:val="22"/>
        </w:rPr>
      </w:pPr>
    </w:p>
    <w:p w:rsidR="00637636" w:rsidRPr="004F5BFA" w:rsidRDefault="00637636" w:rsidP="00637636">
      <w:pPr>
        <w:spacing w:line="36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</w:t>
      </w:r>
      <w:r w:rsidRPr="004F5BFA">
        <w:rPr>
          <w:bCs/>
          <w:sz w:val="24"/>
          <w:szCs w:val="24"/>
        </w:rPr>
        <w:t>аб.1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637636" w:rsidRPr="00FC39B7" w:rsidTr="009918A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C27F3A" w:rsidRDefault="00637636" w:rsidP="009918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C27F3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27F3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27F3A">
              <w:rPr>
                <w:sz w:val="22"/>
                <w:szCs w:val="22"/>
              </w:rPr>
              <w:t>/</w:t>
            </w:r>
            <w:proofErr w:type="spellStart"/>
            <w:r w:rsidRPr="00C27F3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C27F3A" w:rsidRDefault="00637636" w:rsidP="009918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C27F3A">
              <w:rPr>
                <w:b/>
                <w:sz w:val="22"/>
                <w:szCs w:val="22"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C27F3A" w:rsidRDefault="00637636" w:rsidP="009918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C27F3A">
              <w:rPr>
                <w:b/>
                <w:sz w:val="22"/>
                <w:szCs w:val="22"/>
              </w:rPr>
              <w:t>Кол-во заключенных договоров</w:t>
            </w:r>
          </w:p>
          <w:p w:rsidR="00637636" w:rsidRPr="00C27F3A" w:rsidRDefault="00637636" w:rsidP="009918A6">
            <w:pPr>
              <w:spacing w:line="2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C27F3A" w:rsidRDefault="00637636" w:rsidP="009918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C27F3A">
              <w:rPr>
                <w:b/>
                <w:sz w:val="22"/>
                <w:szCs w:val="22"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C27F3A" w:rsidRDefault="00637636" w:rsidP="009918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C27F3A">
              <w:rPr>
                <w:b/>
                <w:sz w:val="22"/>
                <w:szCs w:val="22"/>
              </w:rPr>
              <w:t>Объем предоставленного поручительства по кредитам</w:t>
            </w:r>
          </w:p>
        </w:tc>
      </w:tr>
      <w:tr w:rsidR="00637636" w:rsidRPr="00FC39B7" w:rsidTr="009918A6">
        <w:trPr>
          <w:trHeight w:val="3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C27F3A" w:rsidRDefault="00637636" w:rsidP="009918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C27F3A" w:rsidRDefault="00637636" w:rsidP="009918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F2D4D" w:rsidRDefault="00637636" w:rsidP="009918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0F2D4D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F2D4D" w:rsidRDefault="00637636" w:rsidP="009918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0F2D4D">
              <w:rPr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4230B8" w:rsidRDefault="00637636" w:rsidP="009918A6">
            <w:pPr>
              <w:snapToGrid w:val="0"/>
              <w:spacing w:line="200" w:lineRule="atLeast"/>
              <w:jc w:val="center"/>
              <w:rPr>
                <w:sz w:val="22"/>
                <w:szCs w:val="22"/>
                <w:highlight w:val="yellow"/>
              </w:rPr>
            </w:pPr>
            <w:r w:rsidRPr="00A066EA">
              <w:rPr>
                <w:sz w:val="22"/>
                <w:szCs w:val="22"/>
              </w:rPr>
              <w:t>тыс</w:t>
            </w:r>
            <w:proofErr w:type="gramStart"/>
            <w:r w:rsidRPr="00A066EA">
              <w:rPr>
                <w:sz w:val="22"/>
                <w:szCs w:val="22"/>
              </w:rPr>
              <w:t>.р</w:t>
            </w:r>
            <w:proofErr w:type="gramEnd"/>
            <w:r w:rsidRPr="00A066EA">
              <w:rPr>
                <w:sz w:val="22"/>
                <w:szCs w:val="22"/>
              </w:rPr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E41AC1" w:rsidRDefault="00637636" w:rsidP="009918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E41AC1">
              <w:rPr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4230B8" w:rsidRDefault="00637636" w:rsidP="009918A6">
            <w:pPr>
              <w:snapToGrid w:val="0"/>
              <w:spacing w:line="200" w:lineRule="atLeast"/>
              <w:jc w:val="center"/>
              <w:rPr>
                <w:sz w:val="22"/>
                <w:szCs w:val="22"/>
                <w:highlight w:val="yellow"/>
              </w:rPr>
            </w:pPr>
            <w:r w:rsidRPr="00A066EA">
              <w:rPr>
                <w:sz w:val="22"/>
                <w:szCs w:val="22"/>
              </w:rPr>
              <w:t>тыс</w:t>
            </w:r>
            <w:proofErr w:type="gramStart"/>
            <w:r w:rsidRPr="00A066EA">
              <w:rPr>
                <w:sz w:val="22"/>
                <w:szCs w:val="22"/>
              </w:rPr>
              <w:t>.р</w:t>
            </w:r>
            <w:proofErr w:type="gramEnd"/>
            <w:r w:rsidRPr="00A066EA">
              <w:rPr>
                <w:sz w:val="22"/>
                <w:szCs w:val="22"/>
              </w:rPr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4C2713" w:rsidRDefault="00637636" w:rsidP="009918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4C2713">
              <w:rPr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ОАО «НОМОС-БАНК»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0,8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329 255,8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010BFB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5606E7" w:rsidRPr="000977A9">
              <w:rPr>
                <w:color w:val="000000" w:themeColor="text1"/>
                <w:sz w:val="22"/>
                <w:szCs w:val="22"/>
              </w:rPr>
              <w:t>4</w:t>
            </w:r>
            <w:r w:rsidRPr="000977A9">
              <w:rPr>
                <w:color w:val="000000" w:themeColor="text1"/>
                <w:sz w:val="22"/>
                <w:szCs w:val="22"/>
              </w:rPr>
              <w:t>,</w:t>
            </w:r>
            <w:r w:rsidR="00010BFB" w:rsidRPr="000977A9">
              <w:rPr>
                <w:color w:val="000000" w:themeColor="text1"/>
                <w:sz w:val="22"/>
                <w:szCs w:val="22"/>
              </w:rPr>
              <w:t>2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115 027,1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C271BF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111346" w:rsidRPr="000977A9">
              <w:rPr>
                <w:color w:val="000000" w:themeColor="text1"/>
                <w:sz w:val="22"/>
                <w:szCs w:val="22"/>
              </w:rPr>
              <w:t>0</w:t>
            </w:r>
            <w:r w:rsidRPr="000977A9">
              <w:rPr>
                <w:color w:val="000000" w:themeColor="text1"/>
                <w:sz w:val="22"/>
                <w:szCs w:val="22"/>
              </w:rPr>
              <w:t>,</w:t>
            </w:r>
            <w:r w:rsidR="00C271BF" w:rsidRPr="000977A9">
              <w:rPr>
                <w:color w:val="000000" w:themeColor="text1"/>
                <w:sz w:val="22"/>
                <w:szCs w:val="22"/>
              </w:rPr>
              <w:t>6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Ульяновское ОСБ 8588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D256D0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6,6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D256D0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559 030,5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010BFB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</w:t>
            </w:r>
            <w:r w:rsidR="005606E7" w:rsidRPr="000977A9">
              <w:rPr>
                <w:color w:val="000000" w:themeColor="text1"/>
                <w:sz w:val="22"/>
                <w:szCs w:val="22"/>
              </w:rPr>
              <w:t>4</w:t>
            </w:r>
            <w:r w:rsidRPr="000977A9">
              <w:rPr>
                <w:color w:val="000000" w:themeColor="text1"/>
                <w:sz w:val="22"/>
                <w:szCs w:val="22"/>
              </w:rPr>
              <w:t>,</w:t>
            </w:r>
            <w:r w:rsidR="00010BFB" w:rsidRPr="000977A9">
              <w:rPr>
                <w:color w:val="000000" w:themeColor="text1"/>
                <w:sz w:val="22"/>
                <w:szCs w:val="22"/>
              </w:rPr>
              <w:t>1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D256D0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3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09</w:t>
            </w:r>
            <w:r w:rsidRPr="000977A9">
              <w:rPr>
                <w:color w:val="000000" w:themeColor="text1"/>
                <w:sz w:val="22"/>
                <w:szCs w:val="22"/>
              </w:rPr>
              <w:t> 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57</w:t>
            </w:r>
            <w:r w:rsidRPr="000977A9">
              <w:rPr>
                <w:color w:val="000000" w:themeColor="text1"/>
                <w:sz w:val="22"/>
                <w:szCs w:val="22"/>
              </w:rPr>
              <w:t>1,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C271BF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</w:t>
            </w:r>
            <w:r w:rsidR="00C271BF" w:rsidRPr="000977A9">
              <w:rPr>
                <w:color w:val="000000" w:themeColor="text1"/>
                <w:sz w:val="22"/>
                <w:szCs w:val="22"/>
              </w:rPr>
              <w:t>8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="00C271BF" w:rsidRPr="000977A9">
              <w:rPr>
                <w:color w:val="000000" w:themeColor="text1"/>
                <w:sz w:val="22"/>
                <w:szCs w:val="22"/>
              </w:rPr>
              <w:t>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0977A9">
              <w:rPr>
                <w:sz w:val="22"/>
                <w:szCs w:val="22"/>
              </w:rPr>
              <w:t>ПВ-Банк</w:t>
            </w:r>
            <w:proofErr w:type="spellEnd"/>
            <w:r w:rsidRPr="000977A9">
              <w:rPr>
                <w:sz w:val="22"/>
                <w:szCs w:val="22"/>
              </w:rPr>
              <w:t xml:space="preserve">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0F2D4D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1,</w:t>
            </w:r>
            <w:r w:rsidR="000F2D4D" w:rsidRPr="000977A9">
              <w:rPr>
                <w:color w:val="000000" w:themeColor="text1"/>
                <w:sz w:val="22"/>
                <w:szCs w:val="22"/>
              </w:rPr>
              <w:t>1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10 300,0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AB524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</w:t>
            </w:r>
            <w:r w:rsidR="00AB5246" w:rsidRPr="000977A9">
              <w:rPr>
                <w:color w:val="000000" w:themeColor="text1"/>
                <w:sz w:val="22"/>
                <w:szCs w:val="22"/>
              </w:rPr>
              <w:t>4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5 795,5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0,5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ОАО «</w:t>
            </w:r>
            <w:proofErr w:type="spellStart"/>
            <w:r w:rsidRPr="000977A9">
              <w:rPr>
                <w:sz w:val="22"/>
                <w:szCs w:val="22"/>
              </w:rPr>
              <w:t>Россельхозбанк</w:t>
            </w:r>
            <w:proofErr w:type="spellEnd"/>
            <w:r w:rsidRPr="000977A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1135C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0F2D4D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10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3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1135C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286 745,8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5606E7" w:rsidP="005606E7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12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0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1135C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142 490,7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11134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12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8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ОАО «</w:t>
            </w:r>
            <w:proofErr w:type="spellStart"/>
            <w:r w:rsidRPr="000977A9">
              <w:rPr>
                <w:sz w:val="22"/>
                <w:szCs w:val="22"/>
              </w:rPr>
              <w:t>РосгосстрахБанк</w:t>
            </w:r>
            <w:proofErr w:type="spellEnd"/>
            <w:r w:rsidRPr="000977A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966EF8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9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26 051,1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5606E7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1,1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17 756,1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1,6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ОАО «</w:t>
            </w:r>
            <w:proofErr w:type="spellStart"/>
            <w:r w:rsidRPr="000977A9">
              <w:rPr>
                <w:sz w:val="22"/>
                <w:szCs w:val="22"/>
              </w:rPr>
              <w:t>Первобанк</w:t>
            </w:r>
            <w:proofErr w:type="spellEnd"/>
            <w:r w:rsidRPr="000977A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56A64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0,9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56A64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20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 xml:space="preserve"> 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5606E7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0,9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56A64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9 556,3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C271BF" w:rsidP="00C271BF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</w:t>
            </w:r>
            <w:r w:rsidR="00111346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9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 xml:space="preserve">ООО </w:t>
            </w:r>
            <w:proofErr w:type="spellStart"/>
            <w:r w:rsidRPr="000977A9">
              <w:rPr>
                <w:sz w:val="22"/>
                <w:szCs w:val="22"/>
              </w:rPr>
              <w:t>Юниаструмбанк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9065CE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5,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9065CE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18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5</w:t>
            </w:r>
            <w:r w:rsidRPr="000977A9">
              <w:rPr>
                <w:color w:val="000000" w:themeColor="text1"/>
                <w:sz w:val="22"/>
                <w:szCs w:val="22"/>
              </w:rPr>
              <w:t> 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AB5246" w:rsidP="005606E7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8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84744" w:rsidP="00784744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77 615,5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7,1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ООО «</w:t>
            </w:r>
            <w:proofErr w:type="spellStart"/>
            <w:r w:rsidRPr="000977A9">
              <w:rPr>
                <w:sz w:val="22"/>
                <w:szCs w:val="22"/>
              </w:rPr>
              <w:t>Фиа-Банк</w:t>
            </w:r>
            <w:proofErr w:type="spellEnd"/>
            <w:r w:rsidRPr="000977A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26129B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3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2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26129B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10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3 000,0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5606E7" w:rsidP="00AB524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="00AB5246" w:rsidRPr="000977A9">
              <w:rPr>
                <w:color w:val="000000" w:themeColor="text1"/>
                <w:sz w:val="22"/>
                <w:szCs w:val="22"/>
              </w:rPr>
              <w:t>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84744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65 366,4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C271BF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6,</w:t>
            </w:r>
            <w:r w:rsidR="00C271BF" w:rsidRPr="000977A9">
              <w:rPr>
                <w:color w:val="000000" w:themeColor="text1"/>
                <w:sz w:val="22"/>
                <w:szCs w:val="22"/>
              </w:rPr>
              <w:t>7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ОАО «</w:t>
            </w:r>
            <w:proofErr w:type="spellStart"/>
            <w:r w:rsidRPr="000977A9">
              <w:rPr>
                <w:sz w:val="22"/>
                <w:szCs w:val="22"/>
              </w:rPr>
              <w:t>БинБанк</w:t>
            </w:r>
            <w:proofErr w:type="spellEnd"/>
            <w:r w:rsidRPr="000977A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1,1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6549ED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9 200,</w:t>
            </w:r>
            <w:r w:rsidR="006549ED" w:rsidRPr="000977A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0,4%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5 830,7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0,5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ЗАО «Банк ВТБ 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EE3AA0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966EF8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10</w:t>
            </w:r>
            <w:r w:rsidR="000F2D4D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2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EE3AA0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469 625,6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AB524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AB5246" w:rsidRPr="000977A9">
              <w:rPr>
                <w:color w:val="000000" w:themeColor="text1"/>
                <w:sz w:val="22"/>
                <w:szCs w:val="22"/>
              </w:rPr>
              <w:t>8</w:t>
            </w:r>
            <w:r w:rsidRPr="000977A9">
              <w:rPr>
                <w:color w:val="000000" w:themeColor="text1"/>
                <w:sz w:val="22"/>
                <w:szCs w:val="22"/>
              </w:rPr>
              <w:t>,</w:t>
            </w:r>
            <w:r w:rsidR="00AB5246" w:rsidRPr="000977A9">
              <w:rPr>
                <w:color w:val="000000" w:themeColor="text1"/>
                <w:sz w:val="22"/>
                <w:szCs w:val="22"/>
              </w:rPr>
              <w:t>1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E371C3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183 013,0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84242D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C271BF" w:rsidRPr="000977A9">
              <w:rPr>
                <w:color w:val="000000" w:themeColor="text1"/>
                <w:sz w:val="22"/>
                <w:szCs w:val="22"/>
              </w:rPr>
              <w:t>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="0084242D" w:rsidRPr="000977A9">
              <w:rPr>
                <w:color w:val="000000" w:themeColor="text1"/>
                <w:sz w:val="22"/>
                <w:szCs w:val="22"/>
              </w:rPr>
              <w:t>5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ЗАО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306239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306239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23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5606E7" w:rsidP="005606E7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0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306239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13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 196,2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11134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2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0977A9">
              <w:rPr>
                <w:sz w:val="22"/>
                <w:szCs w:val="22"/>
              </w:rPr>
              <w:t>ОАО Банк Открытие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7A38EE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</w:t>
            </w:r>
            <w:r w:rsidR="007A38EE" w:rsidRPr="000977A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966EF8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5,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6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A38EE" w:rsidP="007A38EE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209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77A9">
              <w:rPr>
                <w:color w:val="000000" w:themeColor="text1"/>
                <w:sz w:val="22"/>
                <w:szCs w:val="22"/>
              </w:rPr>
              <w:t>133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5606E7" w:rsidP="005606E7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9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="00AB5246" w:rsidRPr="000977A9">
              <w:rPr>
                <w:color w:val="000000" w:themeColor="text1"/>
                <w:sz w:val="22"/>
                <w:szCs w:val="22"/>
              </w:rPr>
              <w:t>0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A38EE" w:rsidP="007A38EE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91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77A9">
              <w:rPr>
                <w:color w:val="000000" w:themeColor="text1"/>
                <w:sz w:val="22"/>
                <w:szCs w:val="22"/>
              </w:rPr>
              <w:t>727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Pr="000977A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C271BF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8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="00C271BF" w:rsidRPr="000977A9">
              <w:rPr>
                <w:color w:val="000000" w:themeColor="text1"/>
                <w:sz w:val="22"/>
                <w:szCs w:val="22"/>
              </w:rPr>
              <w:t>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ОАО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B7480C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60 671,9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AB524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2,</w:t>
            </w:r>
            <w:r w:rsidR="00AB5246" w:rsidRPr="000977A9">
              <w:rPr>
                <w:color w:val="000000" w:themeColor="text1"/>
                <w:sz w:val="22"/>
                <w:szCs w:val="22"/>
              </w:rPr>
              <w:t>6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29 441,8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11134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2,</w:t>
            </w:r>
            <w:r w:rsidR="00111346" w:rsidRPr="000977A9">
              <w:rPr>
                <w:color w:val="000000" w:themeColor="text1"/>
                <w:sz w:val="22"/>
                <w:szCs w:val="22"/>
              </w:rPr>
              <w:t>7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ЗАО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0F2D4D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</w:t>
            </w:r>
            <w:r w:rsidR="000F2D4D" w:rsidRPr="000977A9">
              <w:rPr>
                <w:color w:val="000000" w:themeColor="text1"/>
                <w:sz w:val="22"/>
                <w:szCs w:val="22"/>
              </w:rPr>
              <w:t>2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7 000,0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0,3%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2 100,0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0,2%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Фонд «Корпорация по развитию предпринимательства Ульяновской области»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73232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66EF8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7</w:t>
            </w:r>
            <w:r w:rsidRPr="000977A9">
              <w:rPr>
                <w:color w:val="000000" w:themeColor="text1"/>
                <w:sz w:val="22"/>
                <w:szCs w:val="22"/>
              </w:rPr>
              <w:t>,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3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73232" w:rsidP="00966EF8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65 780,0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5606E7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2,</w:t>
            </w:r>
            <w:r w:rsidR="00010BFB" w:rsidRPr="000977A9">
              <w:rPr>
                <w:color w:val="000000" w:themeColor="text1"/>
                <w:sz w:val="22"/>
                <w:szCs w:val="22"/>
              </w:rPr>
              <w:t>8</w:t>
            </w:r>
            <w:r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773232" w:rsidP="00966EF8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34 666,1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C271BF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3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,</w:t>
            </w:r>
            <w:r w:rsidR="00C271BF" w:rsidRPr="000977A9">
              <w:rPr>
                <w:color w:val="000000" w:themeColor="text1"/>
                <w:sz w:val="22"/>
                <w:szCs w:val="22"/>
              </w:rPr>
              <w:t>2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0977A9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ОАО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  <w:p w:rsidR="00637636" w:rsidRPr="000977A9" w:rsidRDefault="00637636" w:rsidP="009918A6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8 000,0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0,4%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3 644,6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111346" w:rsidP="0084242D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</w:t>
            </w:r>
            <w:r w:rsidR="0084242D" w:rsidRPr="000977A9">
              <w:rPr>
                <w:color w:val="000000" w:themeColor="text1"/>
                <w:sz w:val="22"/>
                <w:szCs w:val="22"/>
              </w:rPr>
              <w:t>4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637636" w:rsidRPr="00FC39B7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0977A9">
              <w:rPr>
                <w:color w:val="000000" w:themeColor="text1"/>
                <w:sz w:val="22"/>
                <w:szCs w:val="22"/>
              </w:rPr>
              <w:t>Тольятинская</w:t>
            </w:r>
            <w:proofErr w:type="spellEnd"/>
            <w:r w:rsidRPr="000977A9">
              <w:rPr>
                <w:color w:val="000000" w:themeColor="text1"/>
                <w:sz w:val="22"/>
                <w:szCs w:val="22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0F2D4D" w:rsidP="00966EF8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</w:t>
            </w:r>
            <w:r w:rsidR="00966EF8" w:rsidRPr="000977A9">
              <w:rPr>
                <w:color w:val="000000" w:themeColor="text1"/>
                <w:sz w:val="22"/>
                <w:szCs w:val="22"/>
              </w:rPr>
              <w:t>6</w:t>
            </w:r>
            <w:r w:rsidR="00637636" w:rsidRPr="000977A9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C31D13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5 953,</w:t>
            </w:r>
            <w:r w:rsidR="00C31D13" w:rsidRPr="000977A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0,3%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977A9" w:rsidRDefault="00637636" w:rsidP="00C31D13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2 883,</w:t>
            </w:r>
            <w:r w:rsidR="00C31D13" w:rsidRPr="000977A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84242D" w:rsidRDefault="00637636" w:rsidP="009918A6">
            <w:pPr>
              <w:snapToGrid w:val="0"/>
              <w:spacing w:line="2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977A9">
              <w:rPr>
                <w:color w:val="000000" w:themeColor="text1"/>
                <w:sz w:val="22"/>
                <w:szCs w:val="22"/>
              </w:rPr>
              <w:t>0,3%</w:t>
            </w:r>
          </w:p>
        </w:tc>
      </w:tr>
      <w:tr w:rsidR="00637636" w:rsidRPr="00FC39B7" w:rsidTr="009918A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FA52B7" w:rsidRDefault="00637636" w:rsidP="009918A6">
            <w:pPr>
              <w:snapToGrid w:val="0"/>
              <w:spacing w:line="48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C27F3A" w:rsidRDefault="00637636" w:rsidP="009918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C27F3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F2D4D" w:rsidRDefault="00F50C9A" w:rsidP="009918A6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472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0F2D4D" w:rsidRDefault="00637636" w:rsidP="009918A6">
            <w:pPr>
              <w:snapToGrid w:val="0"/>
              <w:spacing w:line="20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4230B8" w:rsidRDefault="00966EF8" w:rsidP="002A4C48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61C4B" w:rsidRPr="00E61C4B">
              <w:rPr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b/>
                <w:color w:val="000000" w:themeColor="text1"/>
                <w:sz w:val="22"/>
                <w:szCs w:val="22"/>
              </w:rPr>
              <w:t>37</w:t>
            </w:r>
            <w:r w:rsidR="002A4C48">
              <w:rPr>
                <w:b/>
                <w:color w:val="000000" w:themeColor="text1"/>
                <w:sz w:val="22"/>
                <w:szCs w:val="22"/>
              </w:rPr>
              <w:t>8</w:t>
            </w:r>
            <w:r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2A4C48">
              <w:rPr>
                <w:b/>
                <w:color w:val="000000" w:themeColor="text1"/>
                <w:sz w:val="22"/>
                <w:szCs w:val="22"/>
              </w:rPr>
              <w:t>129</w:t>
            </w:r>
            <w:r w:rsidR="00E61C4B" w:rsidRPr="00E61C4B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2A4C48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4230B8" w:rsidRDefault="00637636" w:rsidP="009918A6">
            <w:pPr>
              <w:snapToGrid w:val="0"/>
              <w:spacing w:line="200" w:lineRule="atLeast"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7636" w:rsidRPr="004230B8" w:rsidRDefault="00966EF8" w:rsidP="000977A9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E61C4B" w:rsidRPr="00E61C4B"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0977A9">
              <w:rPr>
                <w:b/>
                <w:color w:val="000000" w:themeColor="text1"/>
                <w:sz w:val="22"/>
                <w:szCs w:val="22"/>
              </w:rPr>
              <w:t>109</w:t>
            </w:r>
            <w:r w:rsidR="00E61C4B" w:rsidRPr="00E61C4B"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0977A9">
              <w:rPr>
                <w:b/>
                <w:color w:val="000000" w:themeColor="text1"/>
                <w:sz w:val="22"/>
                <w:szCs w:val="22"/>
              </w:rPr>
              <w:t>682</w:t>
            </w:r>
            <w:r w:rsidR="00E61C4B" w:rsidRPr="00E61C4B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0977A9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636" w:rsidRPr="004230B8" w:rsidRDefault="00637636" w:rsidP="009918A6">
            <w:pPr>
              <w:snapToGrid w:val="0"/>
              <w:spacing w:line="200" w:lineRule="atLeast"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637636" w:rsidRDefault="00637636" w:rsidP="00637636">
      <w:pPr>
        <w:spacing w:line="360" w:lineRule="auto"/>
        <w:jc w:val="center"/>
        <w:rPr>
          <w:b/>
          <w:sz w:val="24"/>
          <w:szCs w:val="24"/>
        </w:rPr>
      </w:pPr>
    </w:p>
    <w:p w:rsidR="0041321D" w:rsidRDefault="00637636" w:rsidP="00637636">
      <w:pPr>
        <w:spacing w:line="360" w:lineRule="auto"/>
        <w:jc w:val="center"/>
        <w:rPr>
          <w:b/>
          <w:sz w:val="24"/>
          <w:szCs w:val="24"/>
        </w:rPr>
      </w:pPr>
      <w:r w:rsidRPr="00222A07">
        <w:rPr>
          <w:b/>
          <w:sz w:val="24"/>
          <w:szCs w:val="24"/>
        </w:rPr>
        <w:t xml:space="preserve">     </w:t>
      </w:r>
    </w:p>
    <w:p w:rsidR="0041321D" w:rsidRDefault="0041321D" w:rsidP="00637636">
      <w:pPr>
        <w:spacing w:line="360" w:lineRule="auto"/>
        <w:jc w:val="center"/>
        <w:rPr>
          <w:b/>
          <w:sz w:val="24"/>
          <w:szCs w:val="24"/>
        </w:rPr>
      </w:pPr>
    </w:p>
    <w:p w:rsidR="0041321D" w:rsidRDefault="0041321D" w:rsidP="00637636">
      <w:pPr>
        <w:spacing w:line="360" w:lineRule="auto"/>
        <w:jc w:val="center"/>
        <w:rPr>
          <w:b/>
          <w:sz w:val="24"/>
          <w:szCs w:val="24"/>
        </w:rPr>
      </w:pPr>
    </w:p>
    <w:p w:rsidR="0041321D" w:rsidRDefault="0041321D" w:rsidP="00637636">
      <w:pPr>
        <w:spacing w:line="360" w:lineRule="auto"/>
        <w:jc w:val="center"/>
        <w:rPr>
          <w:b/>
          <w:sz w:val="24"/>
          <w:szCs w:val="24"/>
        </w:rPr>
      </w:pPr>
    </w:p>
    <w:p w:rsidR="0041321D" w:rsidRDefault="0041321D" w:rsidP="00637636">
      <w:pPr>
        <w:spacing w:line="360" w:lineRule="auto"/>
        <w:jc w:val="center"/>
        <w:rPr>
          <w:b/>
          <w:sz w:val="24"/>
          <w:szCs w:val="24"/>
        </w:rPr>
      </w:pPr>
    </w:p>
    <w:p w:rsidR="0041321D" w:rsidRDefault="0041321D" w:rsidP="00637636">
      <w:pPr>
        <w:spacing w:line="360" w:lineRule="auto"/>
        <w:jc w:val="center"/>
        <w:rPr>
          <w:b/>
          <w:sz w:val="24"/>
          <w:szCs w:val="24"/>
        </w:rPr>
      </w:pPr>
    </w:p>
    <w:p w:rsidR="0041321D" w:rsidRDefault="0041321D" w:rsidP="00637636">
      <w:pPr>
        <w:spacing w:line="360" w:lineRule="auto"/>
        <w:jc w:val="center"/>
        <w:rPr>
          <w:b/>
          <w:sz w:val="24"/>
          <w:szCs w:val="24"/>
        </w:rPr>
      </w:pPr>
    </w:p>
    <w:p w:rsidR="00637636" w:rsidRDefault="00637636" w:rsidP="00637636">
      <w:pPr>
        <w:spacing w:line="360" w:lineRule="auto"/>
        <w:jc w:val="center"/>
        <w:rPr>
          <w:b/>
          <w:sz w:val="24"/>
          <w:szCs w:val="24"/>
        </w:rPr>
      </w:pPr>
      <w:r w:rsidRPr="00222A07">
        <w:rPr>
          <w:b/>
          <w:sz w:val="24"/>
          <w:szCs w:val="24"/>
        </w:rPr>
        <w:t xml:space="preserve"> Объемы выданных поручительств за весь период работы фонда</w:t>
      </w:r>
    </w:p>
    <w:p w:rsidR="00637636" w:rsidRPr="004F5BFA" w:rsidRDefault="00637636" w:rsidP="00637636">
      <w:pPr>
        <w:spacing w:line="360" w:lineRule="auto"/>
        <w:jc w:val="right"/>
        <w:rPr>
          <w:sz w:val="24"/>
          <w:szCs w:val="24"/>
        </w:rPr>
      </w:pPr>
      <w:r w:rsidRPr="004F5BFA">
        <w:rPr>
          <w:sz w:val="24"/>
          <w:szCs w:val="24"/>
        </w:rPr>
        <w:t>Таб.2</w:t>
      </w:r>
    </w:p>
    <w:tbl>
      <w:tblPr>
        <w:tblStyle w:val="a3"/>
        <w:tblW w:w="0" w:type="auto"/>
        <w:tblLook w:val="04A0"/>
      </w:tblPr>
      <w:tblGrid>
        <w:gridCol w:w="2376"/>
        <w:gridCol w:w="1219"/>
        <w:gridCol w:w="1219"/>
        <w:gridCol w:w="1219"/>
        <w:gridCol w:w="1219"/>
        <w:gridCol w:w="1220"/>
      </w:tblGrid>
      <w:tr w:rsidR="00612653" w:rsidTr="0041321D">
        <w:tc>
          <w:tcPr>
            <w:tcW w:w="2376" w:type="dxa"/>
          </w:tcPr>
          <w:p w:rsidR="00612653" w:rsidRDefault="00637636" w:rsidP="0063763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219" w:type="dxa"/>
          </w:tcPr>
          <w:p w:rsidR="00612653" w:rsidRDefault="0041321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2011 г.</w:t>
            </w:r>
          </w:p>
        </w:tc>
        <w:tc>
          <w:tcPr>
            <w:tcW w:w="1219" w:type="dxa"/>
          </w:tcPr>
          <w:p w:rsidR="00612653" w:rsidRDefault="0041321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2012 г.</w:t>
            </w:r>
          </w:p>
        </w:tc>
        <w:tc>
          <w:tcPr>
            <w:tcW w:w="1219" w:type="dxa"/>
          </w:tcPr>
          <w:p w:rsidR="00612653" w:rsidRDefault="0041321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2013 г.</w:t>
            </w:r>
          </w:p>
        </w:tc>
        <w:tc>
          <w:tcPr>
            <w:tcW w:w="1219" w:type="dxa"/>
          </w:tcPr>
          <w:p w:rsidR="00612653" w:rsidRDefault="0041321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2014 г.</w:t>
            </w:r>
          </w:p>
        </w:tc>
        <w:tc>
          <w:tcPr>
            <w:tcW w:w="1220" w:type="dxa"/>
          </w:tcPr>
          <w:p w:rsidR="00612653" w:rsidRDefault="0041321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2015 г.</w:t>
            </w:r>
          </w:p>
        </w:tc>
      </w:tr>
      <w:tr w:rsidR="00612653" w:rsidTr="0041321D">
        <w:tc>
          <w:tcPr>
            <w:tcW w:w="2376" w:type="dxa"/>
          </w:tcPr>
          <w:p w:rsidR="00612653" w:rsidRPr="0041321D" w:rsidRDefault="00612653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Сумма выданных кредитов, тыс</w:t>
            </w:r>
            <w:proofErr w:type="gramStart"/>
            <w:r w:rsidRPr="0041321D">
              <w:rPr>
                <w:b/>
                <w:sz w:val="18"/>
                <w:szCs w:val="18"/>
              </w:rPr>
              <w:t>.р</w:t>
            </w:r>
            <w:proofErr w:type="gramEnd"/>
            <w:r w:rsidRPr="0041321D">
              <w:rPr>
                <w:b/>
                <w:sz w:val="18"/>
                <w:szCs w:val="18"/>
              </w:rPr>
              <w:t>уб.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585 156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518 988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672 013,1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245 643,0</w:t>
            </w:r>
          </w:p>
        </w:tc>
        <w:tc>
          <w:tcPr>
            <w:tcW w:w="1220" w:type="dxa"/>
          </w:tcPr>
          <w:p w:rsidR="00612653" w:rsidRPr="0041321D" w:rsidRDefault="00B02C70" w:rsidP="0041321D">
            <w:pPr>
              <w:spacing w:line="360" w:lineRule="auto"/>
              <w:jc w:val="center"/>
            </w:pPr>
            <w:r>
              <w:t>97 850</w:t>
            </w:r>
            <w:r w:rsidR="0041321D" w:rsidRPr="0041321D">
              <w:t>,0</w:t>
            </w:r>
          </w:p>
        </w:tc>
      </w:tr>
      <w:tr w:rsidR="00612653" w:rsidTr="0041321D">
        <w:tc>
          <w:tcPr>
            <w:tcW w:w="2376" w:type="dxa"/>
          </w:tcPr>
          <w:p w:rsidR="00612653" w:rsidRPr="0041321D" w:rsidRDefault="00612653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Сумма выданных поручительств, тыс</w:t>
            </w:r>
            <w:proofErr w:type="gramStart"/>
            <w:r w:rsidRPr="0041321D">
              <w:rPr>
                <w:b/>
                <w:sz w:val="18"/>
                <w:szCs w:val="18"/>
              </w:rPr>
              <w:t>.р</w:t>
            </w:r>
            <w:proofErr w:type="gramEnd"/>
            <w:r w:rsidRPr="0041321D">
              <w:rPr>
                <w:b/>
                <w:sz w:val="18"/>
                <w:szCs w:val="18"/>
              </w:rPr>
              <w:t>уб.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231 026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238 669,3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363 680,0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105 176,0</w:t>
            </w:r>
          </w:p>
        </w:tc>
        <w:tc>
          <w:tcPr>
            <w:tcW w:w="1220" w:type="dxa"/>
          </w:tcPr>
          <w:p w:rsidR="00612653" w:rsidRPr="0041321D" w:rsidRDefault="00B02C70" w:rsidP="0041321D">
            <w:pPr>
              <w:spacing w:line="360" w:lineRule="auto"/>
              <w:jc w:val="center"/>
            </w:pPr>
            <w:r>
              <w:t>43 769</w:t>
            </w:r>
            <w:r w:rsidR="0041321D" w:rsidRPr="0041321D">
              <w:t>,0</w:t>
            </w:r>
          </w:p>
        </w:tc>
      </w:tr>
      <w:tr w:rsidR="00612653" w:rsidTr="0041321D">
        <w:tc>
          <w:tcPr>
            <w:tcW w:w="2376" w:type="dxa"/>
          </w:tcPr>
          <w:p w:rsidR="00612653" w:rsidRPr="0041321D" w:rsidRDefault="00612653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Кол-во договоров</w:t>
            </w:r>
            <w:r w:rsidR="0041321D" w:rsidRPr="0041321D">
              <w:rPr>
                <w:b/>
                <w:sz w:val="18"/>
                <w:szCs w:val="18"/>
              </w:rPr>
              <w:t>, шт.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86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97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128</w:t>
            </w:r>
          </w:p>
        </w:tc>
        <w:tc>
          <w:tcPr>
            <w:tcW w:w="1219" w:type="dxa"/>
          </w:tcPr>
          <w:p w:rsidR="00612653" w:rsidRPr="0041321D" w:rsidRDefault="0041321D" w:rsidP="0041321D">
            <w:pPr>
              <w:spacing w:line="360" w:lineRule="auto"/>
              <w:jc w:val="center"/>
            </w:pPr>
            <w:r w:rsidRPr="0041321D">
              <w:t>58</w:t>
            </w:r>
          </w:p>
        </w:tc>
        <w:tc>
          <w:tcPr>
            <w:tcW w:w="1220" w:type="dxa"/>
          </w:tcPr>
          <w:p w:rsidR="00612653" w:rsidRPr="0041321D" w:rsidRDefault="00B02C70" w:rsidP="0041321D">
            <w:pPr>
              <w:spacing w:line="360" w:lineRule="auto"/>
              <w:jc w:val="center"/>
            </w:pPr>
            <w:r>
              <w:t>17</w:t>
            </w:r>
          </w:p>
        </w:tc>
      </w:tr>
    </w:tbl>
    <w:p w:rsidR="00637636" w:rsidRDefault="00637636" w:rsidP="00637636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</w:p>
    <w:p w:rsidR="00637636" w:rsidRPr="00320422" w:rsidRDefault="00637636" w:rsidP="00637636">
      <w:pPr>
        <w:spacing w:line="360" w:lineRule="auto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Средний размер выданного поручительства составляет </w:t>
      </w:r>
      <w:r w:rsidR="0041321D">
        <w:rPr>
          <w:sz w:val="22"/>
          <w:szCs w:val="22"/>
        </w:rPr>
        <w:t>2</w:t>
      </w:r>
      <w:r w:rsidR="009918A6">
        <w:rPr>
          <w:sz w:val="22"/>
          <w:szCs w:val="22"/>
        </w:rPr>
        <w:t>,</w:t>
      </w:r>
      <w:r w:rsidR="001C4B46">
        <w:rPr>
          <w:sz w:val="22"/>
          <w:szCs w:val="22"/>
        </w:rPr>
        <w:t>6</w:t>
      </w:r>
      <w:r w:rsidRPr="00320422">
        <w:rPr>
          <w:sz w:val="22"/>
          <w:szCs w:val="22"/>
        </w:rPr>
        <w:t xml:space="preserve"> млн</w:t>
      </w:r>
      <w:proofErr w:type="gramStart"/>
      <w:r w:rsidRPr="00320422">
        <w:rPr>
          <w:sz w:val="22"/>
          <w:szCs w:val="22"/>
        </w:rPr>
        <w:t>.р</w:t>
      </w:r>
      <w:proofErr w:type="gramEnd"/>
      <w:r w:rsidRPr="00320422">
        <w:rPr>
          <w:sz w:val="22"/>
          <w:szCs w:val="22"/>
        </w:rPr>
        <w:t xml:space="preserve">уб., средняя сумма кредита выданного под поручительство Фонда – </w:t>
      </w:r>
      <w:r w:rsidR="0041321D">
        <w:rPr>
          <w:sz w:val="22"/>
          <w:szCs w:val="22"/>
        </w:rPr>
        <w:t>5</w:t>
      </w:r>
      <w:r w:rsidR="009918A6">
        <w:rPr>
          <w:sz w:val="22"/>
          <w:szCs w:val="22"/>
        </w:rPr>
        <w:t>,</w:t>
      </w:r>
      <w:r w:rsidR="001C4B46">
        <w:rPr>
          <w:sz w:val="22"/>
          <w:szCs w:val="22"/>
        </w:rPr>
        <w:t>8</w:t>
      </w:r>
      <w:r w:rsidRPr="00320422">
        <w:rPr>
          <w:sz w:val="22"/>
          <w:szCs w:val="22"/>
        </w:rPr>
        <w:t xml:space="preserve"> млн.руб. </w:t>
      </w:r>
    </w:p>
    <w:p w:rsidR="00637636" w:rsidRPr="00320422" w:rsidRDefault="00637636" w:rsidP="00637636">
      <w:pPr>
        <w:spacing w:line="360" w:lineRule="auto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      По состоянию на 01.0</w:t>
      </w:r>
      <w:r w:rsidR="001C4B46">
        <w:rPr>
          <w:sz w:val="22"/>
          <w:szCs w:val="22"/>
        </w:rPr>
        <w:t>7</w:t>
      </w:r>
      <w:r w:rsidRPr="00320422">
        <w:rPr>
          <w:sz w:val="22"/>
          <w:szCs w:val="22"/>
        </w:rPr>
        <w:t>.201</w:t>
      </w:r>
      <w:r w:rsidR="009918A6">
        <w:rPr>
          <w:sz w:val="22"/>
          <w:szCs w:val="22"/>
        </w:rPr>
        <w:t>5</w:t>
      </w:r>
      <w:r w:rsidRPr="00320422">
        <w:rPr>
          <w:sz w:val="22"/>
          <w:szCs w:val="22"/>
        </w:rPr>
        <w:t xml:space="preserve"> г. действующих договоров </w:t>
      </w:r>
      <w:r w:rsidRPr="00004705">
        <w:rPr>
          <w:sz w:val="22"/>
          <w:szCs w:val="22"/>
        </w:rPr>
        <w:t xml:space="preserve">поручительства </w:t>
      </w:r>
      <w:r w:rsidR="00B3762E">
        <w:rPr>
          <w:sz w:val="22"/>
          <w:szCs w:val="22"/>
        </w:rPr>
        <w:t>1</w:t>
      </w:r>
      <w:r w:rsidR="001C4B46">
        <w:rPr>
          <w:sz w:val="22"/>
          <w:szCs w:val="22"/>
        </w:rPr>
        <w:t>47</w:t>
      </w:r>
      <w:r w:rsidRPr="00004705">
        <w:rPr>
          <w:sz w:val="22"/>
          <w:szCs w:val="22"/>
        </w:rPr>
        <w:t xml:space="preserve"> на сумму </w:t>
      </w:r>
      <w:r w:rsidR="00004705" w:rsidRPr="00004705">
        <w:rPr>
          <w:sz w:val="22"/>
          <w:szCs w:val="22"/>
        </w:rPr>
        <w:t>4</w:t>
      </w:r>
      <w:r w:rsidR="001C4B46">
        <w:rPr>
          <w:sz w:val="22"/>
          <w:szCs w:val="22"/>
        </w:rPr>
        <w:t>11</w:t>
      </w:r>
      <w:r w:rsidR="00004705" w:rsidRPr="00004705">
        <w:rPr>
          <w:sz w:val="22"/>
          <w:szCs w:val="22"/>
        </w:rPr>
        <w:t>,</w:t>
      </w:r>
      <w:r w:rsidR="001C4B46">
        <w:rPr>
          <w:sz w:val="22"/>
          <w:szCs w:val="22"/>
        </w:rPr>
        <w:t>6</w:t>
      </w:r>
      <w:r w:rsidR="00004705" w:rsidRPr="00004705">
        <w:rPr>
          <w:sz w:val="22"/>
          <w:szCs w:val="22"/>
        </w:rPr>
        <w:t xml:space="preserve"> </w:t>
      </w:r>
      <w:r w:rsidRPr="00004705">
        <w:rPr>
          <w:sz w:val="22"/>
          <w:szCs w:val="22"/>
        </w:rPr>
        <w:t>млн</w:t>
      </w:r>
      <w:proofErr w:type="gramStart"/>
      <w:r w:rsidRPr="00004705">
        <w:rPr>
          <w:sz w:val="22"/>
          <w:szCs w:val="22"/>
        </w:rPr>
        <w:t>.р</w:t>
      </w:r>
      <w:proofErr w:type="gramEnd"/>
      <w:r w:rsidRPr="00004705">
        <w:rPr>
          <w:sz w:val="22"/>
          <w:szCs w:val="22"/>
        </w:rPr>
        <w:t>уб.:</w:t>
      </w:r>
      <w:r w:rsidRPr="00320422">
        <w:rPr>
          <w:sz w:val="22"/>
          <w:szCs w:val="22"/>
        </w:rPr>
        <w:t xml:space="preserve">                            </w:t>
      </w:r>
    </w:p>
    <w:p w:rsidR="00637636" w:rsidRDefault="00637636" w:rsidP="00637636">
      <w:pPr>
        <w:spacing w:line="360" w:lineRule="auto"/>
        <w:jc w:val="right"/>
      </w:pPr>
      <w:r>
        <w:t>Таб.3</w:t>
      </w:r>
    </w:p>
    <w:tbl>
      <w:tblPr>
        <w:tblW w:w="10383" w:type="dxa"/>
        <w:tblInd w:w="-35" w:type="dxa"/>
        <w:tblLayout w:type="fixed"/>
        <w:tblLook w:val="0000"/>
      </w:tblPr>
      <w:tblGrid>
        <w:gridCol w:w="721"/>
        <w:gridCol w:w="4772"/>
        <w:gridCol w:w="2550"/>
        <w:gridCol w:w="2340"/>
      </w:tblGrid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C27F3A" w:rsidRDefault="00637636" w:rsidP="009918A6">
            <w:pPr>
              <w:snapToGrid w:val="0"/>
              <w:jc w:val="both"/>
              <w:rPr>
                <w:sz w:val="22"/>
                <w:szCs w:val="22"/>
              </w:rPr>
            </w:pPr>
            <w:r w:rsidRPr="00C27F3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27F3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27F3A">
              <w:rPr>
                <w:sz w:val="22"/>
                <w:szCs w:val="22"/>
              </w:rPr>
              <w:t>/</w:t>
            </w:r>
            <w:proofErr w:type="spellStart"/>
            <w:r w:rsidRPr="00C27F3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C27F3A" w:rsidRDefault="00637636" w:rsidP="009918A6">
            <w:pPr>
              <w:snapToGrid w:val="0"/>
              <w:jc w:val="center"/>
              <w:rPr>
                <w:sz w:val="22"/>
                <w:szCs w:val="22"/>
              </w:rPr>
            </w:pPr>
            <w:r w:rsidRPr="00C27F3A">
              <w:rPr>
                <w:sz w:val="22"/>
                <w:szCs w:val="22"/>
              </w:rPr>
              <w:t>Наименование финансово-кредитной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637636" w:rsidP="009918A6">
            <w:pPr>
              <w:snapToGrid w:val="0"/>
              <w:jc w:val="center"/>
              <w:rPr>
                <w:sz w:val="22"/>
                <w:szCs w:val="22"/>
              </w:rPr>
            </w:pPr>
            <w:r w:rsidRPr="00A53BAB">
              <w:rPr>
                <w:sz w:val="22"/>
                <w:szCs w:val="22"/>
              </w:rPr>
              <w:t>Сумма выданных поручительств, тыс</w:t>
            </w:r>
            <w:proofErr w:type="gramStart"/>
            <w:r w:rsidRPr="00A53BAB">
              <w:rPr>
                <w:sz w:val="22"/>
                <w:szCs w:val="22"/>
              </w:rPr>
              <w:t>.р</w:t>
            </w:r>
            <w:proofErr w:type="gramEnd"/>
            <w:r w:rsidRPr="00A53BAB">
              <w:rPr>
                <w:sz w:val="22"/>
                <w:szCs w:val="22"/>
              </w:rPr>
              <w:t>уб.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637636" w:rsidP="009918A6">
            <w:pPr>
              <w:snapToGrid w:val="0"/>
              <w:jc w:val="center"/>
              <w:rPr>
                <w:sz w:val="22"/>
                <w:szCs w:val="22"/>
              </w:rPr>
            </w:pPr>
            <w:r w:rsidRPr="00A53BAB">
              <w:rPr>
                <w:sz w:val="22"/>
                <w:szCs w:val="22"/>
              </w:rPr>
              <w:t>Количество действующих договоров, шт.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 xml:space="preserve">ОАО Сбербанк России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CF346A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114 261,0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CF346A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ОАО «ФИА-БАНК»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B93D13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695,7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2977CD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ОАО «НОМОС-БАНК»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2977CD" w:rsidP="00B93D1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B93D13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B93D13">
              <w:rPr>
                <w:color w:val="000000" w:themeColor="text1"/>
                <w:sz w:val="22"/>
                <w:szCs w:val="22"/>
              </w:rPr>
              <w:t>706</w:t>
            </w:r>
            <w:r>
              <w:rPr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2977CD" w:rsidP="00B93D1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B93D13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ОАО  "Первый Объединенный Банк"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2977CD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8 305,3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2977CD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ОАО «</w:t>
            </w:r>
            <w:proofErr w:type="spellStart"/>
            <w:r w:rsidRPr="00E9315B">
              <w:rPr>
                <w:bCs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  <w:r w:rsidRPr="00E9315B">
              <w:rPr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2977CD" w:rsidP="009F0028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55 </w:t>
            </w:r>
            <w:r w:rsidR="009F0028">
              <w:rPr>
                <w:color w:val="000000" w:themeColor="text1"/>
                <w:sz w:val="22"/>
                <w:szCs w:val="22"/>
              </w:rPr>
              <w:t>428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9F002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2977CD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ОАО «</w:t>
            </w:r>
            <w:proofErr w:type="spellStart"/>
            <w:r w:rsidRPr="00E9315B">
              <w:rPr>
                <w:bCs/>
                <w:color w:val="000000" w:themeColor="text1"/>
                <w:sz w:val="22"/>
                <w:szCs w:val="22"/>
              </w:rPr>
              <w:t>Росгосстрах</w:t>
            </w:r>
            <w:proofErr w:type="spellEnd"/>
            <w:r w:rsidRPr="00E9315B">
              <w:rPr>
                <w:bCs/>
                <w:color w:val="000000" w:themeColor="text1"/>
                <w:sz w:val="22"/>
                <w:szCs w:val="22"/>
              </w:rPr>
              <w:t xml:space="preserve"> Банк»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2977CD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2977CD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ЗАО «ВТБ 24»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670A85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103 459,4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2977CD" w:rsidP="00670A8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670A85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E9315B">
              <w:rPr>
                <w:bCs/>
                <w:color w:val="000000" w:themeColor="text1"/>
                <w:sz w:val="22"/>
                <w:szCs w:val="22"/>
              </w:rPr>
              <w:t>Юниаструм</w:t>
            </w:r>
            <w:proofErr w:type="spellEnd"/>
            <w:r w:rsidRPr="00E9315B">
              <w:rPr>
                <w:bCs/>
                <w:color w:val="000000" w:themeColor="text1"/>
                <w:sz w:val="22"/>
                <w:szCs w:val="22"/>
              </w:rPr>
              <w:t xml:space="preserve"> банк»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5B28B3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18 315,5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2977CD" w:rsidP="005B28B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5B28B3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ОАО «</w:t>
            </w:r>
            <w:proofErr w:type="spellStart"/>
            <w:r w:rsidRPr="00E9315B">
              <w:rPr>
                <w:bCs/>
                <w:color w:val="000000" w:themeColor="text1"/>
                <w:sz w:val="22"/>
                <w:szCs w:val="22"/>
              </w:rPr>
              <w:t>Ак</w:t>
            </w:r>
            <w:proofErr w:type="spellEnd"/>
            <w:r w:rsidRPr="00E9315B">
              <w:rPr>
                <w:bCs/>
                <w:color w:val="000000" w:themeColor="text1"/>
                <w:sz w:val="22"/>
                <w:szCs w:val="22"/>
              </w:rPr>
              <w:t xml:space="preserve"> Барс банк»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E720D6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11 266,1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E720D6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ОАО « Банк Открытие»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55646F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43 151,3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A53BAB" w:rsidP="0055646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53BAB">
              <w:rPr>
                <w:color w:val="000000" w:themeColor="text1"/>
                <w:sz w:val="22"/>
                <w:szCs w:val="22"/>
              </w:rPr>
              <w:t>1</w:t>
            </w:r>
            <w:r w:rsidR="0055646F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ОАО «Невский народный банк»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A53BAB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53BAB">
              <w:rPr>
                <w:color w:val="000000" w:themeColor="text1"/>
                <w:sz w:val="22"/>
                <w:szCs w:val="22"/>
              </w:rPr>
              <w:t>2 401,5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A53BAB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53BA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9315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ООО «Тольяттинская лизинговая компания»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476D1F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1 106,6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476D1F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9315B" w:rsidRDefault="00637636" w:rsidP="009918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9315B">
              <w:rPr>
                <w:bCs/>
                <w:color w:val="000000" w:themeColor="text1"/>
                <w:sz w:val="22"/>
                <w:szCs w:val="22"/>
              </w:rPr>
              <w:t>Фонд «Корпорация по развитию предпринимательства Ульяновской области»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476D1F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7 729,1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476D1F" w:rsidP="009918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</w:tr>
      <w:tr w:rsidR="00637636" w:rsidRPr="00FC39B7" w:rsidTr="009918A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BC2214" w:rsidRDefault="00637636" w:rsidP="009918A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75EF7" w:rsidRDefault="00637636" w:rsidP="009918A6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5EF7"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A53BAB" w:rsidRDefault="00D8658C" w:rsidP="002977C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411 648,1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36" w:rsidRPr="00A53BAB" w:rsidRDefault="00D8658C" w:rsidP="00A53BAB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147</w:t>
            </w:r>
          </w:p>
        </w:tc>
      </w:tr>
    </w:tbl>
    <w:p w:rsidR="00637636" w:rsidRDefault="00637636" w:rsidP="00637636">
      <w:pPr>
        <w:ind w:firstLine="709"/>
        <w:jc w:val="center"/>
        <w:rPr>
          <w:b/>
          <w:sz w:val="24"/>
          <w:szCs w:val="24"/>
        </w:rPr>
      </w:pPr>
    </w:p>
    <w:p w:rsidR="00060428" w:rsidRDefault="00060428" w:rsidP="00637636">
      <w:pPr>
        <w:ind w:firstLine="709"/>
        <w:jc w:val="center"/>
        <w:rPr>
          <w:b/>
          <w:sz w:val="24"/>
          <w:szCs w:val="24"/>
        </w:rPr>
      </w:pPr>
    </w:p>
    <w:p w:rsidR="00637636" w:rsidRDefault="00637636" w:rsidP="00637636">
      <w:pPr>
        <w:ind w:firstLine="709"/>
        <w:jc w:val="center"/>
        <w:rPr>
          <w:b/>
          <w:sz w:val="24"/>
          <w:szCs w:val="24"/>
        </w:rPr>
      </w:pPr>
      <w:r w:rsidRPr="00552A1C">
        <w:rPr>
          <w:b/>
          <w:sz w:val="24"/>
          <w:szCs w:val="24"/>
        </w:rPr>
        <w:t>Отраслевая структура портфеля поручительств на 01.0</w:t>
      </w:r>
      <w:r w:rsidR="00350333">
        <w:rPr>
          <w:b/>
          <w:sz w:val="24"/>
          <w:szCs w:val="24"/>
        </w:rPr>
        <w:t>7</w:t>
      </w:r>
      <w:r w:rsidRPr="00552A1C">
        <w:rPr>
          <w:b/>
          <w:sz w:val="24"/>
          <w:szCs w:val="24"/>
        </w:rPr>
        <w:t>.201</w:t>
      </w:r>
      <w:r w:rsidR="009918A6">
        <w:rPr>
          <w:b/>
          <w:sz w:val="24"/>
          <w:szCs w:val="24"/>
        </w:rPr>
        <w:t>5</w:t>
      </w:r>
      <w:r w:rsidRPr="00552A1C">
        <w:rPr>
          <w:b/>
          <w:sz w:val="24"/>
          <w:szCs w:val="24"/>
        </w:rPr>
        <w:t xml:space="preserve"> г., тыс</w:t>
      </w:r>
      <w:proofErr w:type="gramStart"/>
      <w:r w:rsidRPr="00552A1C">
        <w:rPr>
          <w:b/>
          <w:sz w:val="24"/>
          <w:szCs w:val="24"/>
        </w:rPr>
        <w:t>.р</w:t>
      </w:r>
      <w:proofErr w:type="gramEnd"/>
      <w:r w:rsidRPr="00552A1C">
        <w:rPr>
          <w:b/>
          <w:sz w:val="24"/>
          <w:szCs w:val="24"/>
        </w:rPr>
        <w:t>уб.</w:t>
      </w:r>
    </w:p>
    <w:p w:rsidR="00060428" w:rsidRPr="00363CF0" w:rsidRDefault="00060428" w:rsidP="00637636">
      <w:pPr>
        <w:ind w:firstLine="709"/>
        <w:jc w:val="center"/>
        <w:rPr>
          <w:sz w:val="24"/>
          <w:szCs w:val="24"/>
        </w:rPr>
      </w:pPr>
    </w:p>
    <w:p w:rsidR="00637636" w:rsidRDefault="00637636" w:rsidP="006376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Табл. 4.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544"/>
        <w:gridCol w:w="1134"/>
        <w:gridCol w:w="2551"/>
        <w:gridCol w:w="2268"/>
      </w:tblGrid>
      <w:tr w:rsidR="00637636" w:rsidTr="009918A6">
        <w:tc>
          <w:tcPr>
            <w:tcW w:w="817" w:type="dxa"/>
          </w:tcPr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  <w:r w:rsidRPr="00C27F3A">
              <w:rPr>
                <w:b/>
                <w:i/>
                <w:sz w:val="22"/>
                <w:szCs w:val="22"/>
              </w:rPr>
              <w:t>№</w:t>
            </w:r>
          </w:p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C27F3A">
              <w:rPr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C27F3A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C27F3A">
              <w:rPr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4" w:type="dxa"/>
          </w:tcPr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  <w:r w:rsidRPr="00C27F3A">
              <w:rPr>
                <w:b/>
                <w:i/>
                <w:sz w:val="22"/>
                <w:szCs w:val="22"/>
              </w:rPr>
              <w:t>Наименование вида деятельности</w:t>
            </w:r>
          </w:p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  <w:r w:rsidRPr="00C27F3A">
              <w:rPr>
                <w:b/>
                <w:i/>
                <w:sz w:val="22"/>
                <w:szCs w:val="22"/>
              </w:rPr>
              <w:t>СМСП</w:t>
            </w:r>
          </w:p>
        </w:tc>
        <w:tc>
          <w:tcPr>
            <w:tcW w:w="1134" w:type="dxa"/>
          </w:tcPr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  <w:r w:rsidRPr="00C27F3A">
              <w:rPr>
                <w:b/>
                <w:i/>
                <w:sz w:val="22"/>
                <w:szCs w:val="22"/>
              </w:rPr>
              <w:t>Кол-во</w:t>
            </w:r>
          </w:p>
        </w:tc>
        <w:tc>
          <w:tcPr>
            <w:tcW w:w="2551" w:type="dxa"/>
          </w:tcPr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  <w:r w:rsidRPr="00C27F3A">
              <w:rPr>
                <w:b/>
                <w:i/>
                <w:sz w:val="22"/>
                <w:szCs w:val="22"/>
              </w:rPr>
              <w:t>Сумма поручительств, тыс</w:t>
            </w:r>
            <w:proofErr w:type="gramStart"/>
            <w:r w:rsidRPr="00C27F3A">
              <w:rPr>
                <w:b/>
                <w:i/>
                <w:sz w:val="22"/>
                <w:szCs w:val="22"/>
              </w:rPr>
              <w:t>.р</w:t>
            </w:r>
            <w:proofErr w:type="gramEnd"/>
            <w:r w:rsidRPr="00C27F3A">
              <w:rPr>
                <w:b/>
                <w:i/>
                <w:sz w:val="22"/>
                <w:szCs w:val="22"/>
              </w:rPr>
              <w:t>уб.</w:t>
            </w:r>
          </w:p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  <w:r w:rsidRPr="00C27F3A">
              <w:rPr>
                <w:b/>
                <w:i/>
                <w:sz w:val="22"/>
                <w:szCs w:val="22"/>
              </w:rPr>
              <w:t>Сумма</w:t>
            </w:r>
          </w:p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  <w:r w:rsidRPr="00C27F3A">
              <w:rPr>
                <w:b/>
                <w:i/>
                <w:sz w:val="22"/>
                <w:szCs w:val="22"/>
              </w:rPr>
              <w:t>Кредитов, тыс</w:t>
            </w:r>
            <w:proofErr w:type="gramStart"/>
            <w:r w:rsidRPr="00C27F3A">
              <w:rPr>
                <w:b/>
                <w:i/>
                <w:sz w:val="22"/>
                <w:szCs w:val="22"/>
              </w:rPr>
              <w:t>.р</w:t>
            </w:r>
            <w:proofErr w:type="gramEnd"/>
            <w:r w:rsidRPr="00C27F3A">
              <w:rPr>
                <w:b/>
                <w:i/>
                <w:sz w:val="22"/>
                <w:szCs w:val="22"/>
              </w:rPr>
              <w:t>уб.</w:t>
            </w:r>
          </w:p>
          <w:p w:rsidR="00637636" w:rsidRPr="00C27F3A" w:rsidRDefault="00637636" w:rsidP="009918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37636" w:rsidRPr="00060428" w:rsidTr="009918A6">
        <w:tc>
          <w:tcPr>
            <w:tcW w:w="817" w:type="dxa"/>
          </w:tcPr>
          <w:p w:rsidR="00637636" w:rsidRPr="00060428" w:rsidRDefault="00637636" w:rsidP="009918A6">
            <w:pPr>
              <w:jc w:val="right"/>
              <w:rPr>
                <w:sz w:val="22"/>
                <w:szCs w:val="22"/>
              </w:rPr>
            </w:pPr>
            <w:r w:rsidRPr="00060428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637636" w:rsidRPr="00060428" w:rsidRDefault="00637636" w:rsidP="009918A6">
            <w:pPr>
              <w:spacing w:line="360" w:lineRule="auto"/>
              <w:rPr>
                <w:sz w:val="22"/>
                <w:szCs w:val="22"/>
              </w:rPr>
            </w:pPr>
            <w:r w:rsidRPr="00060428">
              <w:rPr>
                <w:sz w:val="22"/>
                <w:szCs w:val="22"/>
              </w:rPr>
              <w:t>Производство</w:t>
            </w:r>
          </w:p>
        </w:tc>
        <w:tc>
          <w:tcPr>
            <w:tcW w:w="1134" w:type="dxa"/>
          </w:tcPr>
          <w:p w:rsidR="00637636" w:rsidRPr="00060428" w:rsidRDefault="00D07CE4" w:rsidP="001D1D46">
            <w:pPr>
              <w:jc w:val="right"/>
              <w:rPr>
                <w:sz w:val="22"/>
                <w:szCs w:val="22"/>
              </w:rPr>
            </w:pPr>
            <w:r w:rsidRPr="00060428">
              <w:rPr>
                <w:sz w:val="22"/>
                <w:szCs w:val="22"/>
              </w:rPr>
              <w:t>9</w:t>
            </w:r>
            <w:r w:rsidR="001D1D46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637636" w:rsidRPr="00060428" w:rsidRDefault="00060428" w:rsidP="001D1D46">
            <w:pPr>
              <w:jc w:val="center"/>
              <w:rPr>
                <w:sz w:val="22"/>
                <w:szCs w:val="22"/>
              </w:rPr>
            </w:pPr>
            <w:r w:rsidRPr="00060428">
              <w:rPr>
                <w:sz w:val="22"/>
                <w:szCs w:val="22"/>
              </w:rPr>
              <w:t>2</w:t>
            </w:r>
            <w:r w:rsidR="001D1D46">
              <w:rPr>
                <w:sz w:val="22"/>
                <w:szCs w:val="22"/>
              </w:rPr>
              <w:t>37</w:t>
            </w:r>
            <w:r w:rsidRPr="00060428">
              <w:rPr>
                <w:sz w:val="22"/>
                <w:szCs w:val="22"/>
              </w:rPr>
              <w:t> </w:t>
            </w:r>
            <w:r w:rsidR="001D1D46">
              <w:rPr>
                <w:sz w:val="22"/>
                <w:szCs w:val="22"/>
              </w:rPr>
              <w:t>109</w:t>
            </w:r>
            <w:r w:rsidRPr="00060428">
              <w:rPr>
                <w:sz w:val="22"/>
                <w:szCs w:val="22"/>
              </w:rPr>
              <w:t>,</w:t>
            </w:r>
            <w:r w:rsidR="001D1D46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637636" w:rsidRPr="00060428" w:rsidRDefault="001D1D46" w:rsidP="00C01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527 657,5</w:t>
            </w:r>
          </w:p>
        </w:tc>
      </w:tr>
      <w:tr w:rsidR="00637636" w:rsidRPr="00060428" w:rsidTr="009918A6">
        <w:tc>
          <w:tcPr>
            <w:tcW w:w="817" w:type="dxa"/>
          </w:tcPr>
          <w:p w:rsidR="00637636" w:rsidRPr="00060428" w:rsidRDefault="00637636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637636" w:rsidRPr="00060428" w:rsidRDefault="00637636" w:rsidP="009918A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</w:tcPr>
          <w:p w:rsidR="00637636" w:rsidRPr="00060428" w:rsidRDefault="00D07CE4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2551" w:type="dxa"/>
          </w:tcPr>
          <w:p w:rsidR="00637636" w:rsidRPr="00060428" w:rsidRDefault="001D1D46" w:rsidP="00D07CE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87 327,0</w:t>
            </w:r>
          </w:p>
        </w:tc>
        <w:tc>
          <w:tcPr>
            <w:tcW w:w="2268" w:type="dxa"/>
          </w:tcPr>
          <w:p w:rsidR="00637636" w:rsidRPr="00060428" w:rsidRDefault="00637636" w:rsidP="00D07CE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1</w:t>
            </w:r>
            <w:r w:rsidR="00D07CE4" w:rsidRPr="00060428">
              <w:rPr>
                <w:color w:val="000000" w:themeColor="text1"/>
                <w:sz w:val="22"/>
                <w:szCs w:val="22"/>
              </w:rPr>
              <w:t>84</w:t>
            </w:r>
            <w:r w:rsidRPr="00060428">
              <w:rPr>
                <w:color w:val="000000" w:themeColor="text1"/>
                <w:sz w:val="22"/>
                <w:szCs w:val="22"/>
              </w:rPr>
              <w:t> </w:t>
            </w:r>
            <w:r w:rsidR="00D07CE4" w:rsidRPr="00060428">
              <w:rPr>
                <w:color w:val="000000" w:themeColor="text1"/>
                <w:sz w:val="22"/>
                <w:szCs w:val="22"/>
              </w:rPr>
              <w:t>6</w:t>
            </w:r>
            <w:r w:rsidRPr="00060428">
              <w:rPr>
                <w:color w:val="000000" w:themeColor="text1"/>
                <w:sz w:val="22"/>
                <w:szCs w:val="22"/>
              </w:rPr>
              <w:t>5</w:t>
            </w:r>
            <w:r w:rsidR="00D07CE4" w:rsidRPr="00060428">
              <w:rPr>
                <w:color w:val="000000" w:themeColor="text1"/>
                <w:sz w:val="22"/>
                <w:szCs w:val="22"/>
              </w:rPr>
              <w:t>0</w:t>
            </w:r>
            <w:r w:rsidRPr="00060428">
              <w:rPr>
                <w:color w:val="000000" w:themeColor="text1"/>
                <w:sz w:val="22"/>
                <w:szCs w:val="22"/>
              </w:rPr>
              <w:t>,</w:t>
            </w:r>
            <w:r w:rsidR="00D07CE4" w:rsidRPr="00060428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637636" w:rsidRPr="00060428" w:rsidTr="009918A6">
        <w:tc>
          <w:tcPr>
            <w:tcW w:w="817" w:type="dxa"/>
            <w:shd w:val="clear" w:color="auto" w:fill="auto"/>
          </w:tcPr>
          <w:p w:rsidR="00637636" w:rsidRPr="00060428" w:rsidRDefault="00637636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637636" w:rsidRPr="00060428" w:rsidRDefault="00637636" w:rsidP="009918A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637636" w:rsidRPr="00060428" w:rsidRDefault="00F91985" w:rsidP="001D1D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20</w:t>
            </w:r>
            <w:r w:rsidR="001D1D4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637636" w:rsidRPr="00060428" w:rsidRDefault="001D1D46" w:rsidP="00474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491 577,8</w:t>
            </w:r>
          </w:p>
        </w:tc>
        <w:tc>
          <w:tcPr>
            <w:tcW w:w="2268" w:type="dxa"/>
          </w:tcPr>
          <w:p w:rsidR="00637636" w:rsidRPr="00060428" w:rsidRDefault="001D1D46" w:rsidP="00474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1 027 659,4</w:t>
            </w:r>
          </w:p>
        </w:tc>
      </w:tr>
      <w:tr w:rsidR="00637636" w:rsidRPr="00060428" w:rsidTr="009918A6">
        <w:tc>
          <w:tcPr>
            <w:tcW w:w="817" w:type="dxa"/>
          </w:tcPr>
          <w:p w:rsidR="00637636" w:rsidRPr="00060428" w:rsidRDefault="00637636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637636" w:rsidRPr="00060428" w:rsidRDefault="00637636" w:rsidP="009918A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</w:tcPr>
          <w:p w:rsidR="00637636" w:rsidRPr="00060428" w:rsidRDefault="00F91985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637636" w:rsidRPr="00060428" w:rsidRDefault="00F91985" w:rsidP="009918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34 530,6</w:t>
            </w:r>
          </w:p>
        </w:tc>
        <w:tc>
          <w:tcPr>
            <w:tcW w:w="2268" w:type="dxa"/>
          </w:tcPr>
          <w:p w:rsidR="00637636" w:rsidRPr="00060428" w:rsidRDefault="00F91985" w:rsidP="009918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81 125,0</w:t>
            </w:r>
          </w:p>
        </w:tc>
      </w:tr>
      <w:tr w:rsidR="00637636" w:rsidRPr="00060428" w:rsidTr="009918A6">
        <w:tc>
          <w:tcPr>
            <w:tcW w:w="817" w:type="dxa"/>
          </w:tcPr>
          <w:p w:rsidR="00637636" w:rsidRPr="00060428" w:rsidRDefault="00637636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637636" w:rsidRPr="00060428" w:rsidRDefault="00637636" w:rsidP="009918A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Бытовые  услуги</w:t>
            </w:r>
          </w:p>
        </w:tc>
        <w:tc>
          <w:tcPr>
            <w:tcW w:w="1134" w:type="dxa"/>
          </w:tcPr>
          <w:p w:rsidR="00637636" w:rsidRPr="00060428" w:rsidRDefault="00F91985" w:rsidP="001D1D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3</w:t>
            </w:r>
            <w:r w:rsidR="001D1D4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637636" w:rsidRPr="00060428" w:rsidRDefault="001D1D46" w:rsidP="00C01C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101 146,2</w:t>
            </w:r>
          </w:p>
        </w:tc>
        <w:tc>
          <w:tcPr>
            <w:tcW w:w="2268" w:type="dxa"/>
          </w:tcPr>
          <w:p w:rsidR="00637636" w:rsidRPr="00060428" w:rsidRDefault="001D1D46" w:rsidP="00C01C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244 924,8</w:t>
            </w:r>
          </w:p>
        </w:tc>
      </w:tr>
      <w:tr w:rsidR="00637636" w:rsidRPr="00060428" w:rsidTr="009918A6">
        <w:tc>
          <w:tcPr>
            <w:tcW w:w="817" w:type="dxa"/>
          </w:tcPr>
          <w:p w:rsidR="00637636" w:rsidRPr="00060428" w:rsidRDefault="00637636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637636" w:rsidRPr="00060428" w:rsidRDefault="00637636" w:rsidP="009918A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134" w:type="dxa"/>
          </w:tcPr>
          <w:p w:rsidR="00637636" w:rsidRPr="00060428" w:rsidRDefault="001D1D46" w:rsidP="00B0362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551" w:type="dxa"/>
          </w:tcPr>
          <w:p w:rsidR="00637636" w:rsidRPr="00060428" w:rsidRDefault="001D1D46" w:rsidP="00B036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133 128,0</w:t>
            </w:r>
          </w:p>
        </w:tc>
        <w:tc>
          <w:tcPr>
            <w:tcW w:w="2268" w:type="dxa"/>
          </w:tcPr>
          <w:p w:rsidR="00637636" w:rsidRPr="00060428" w:rsidRDefault="001D1D46" w:rsidP="00B036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261 864,6</w:t>
            </w:r>
          </w:p>
        </w:tc>
      </w:tr>
      <w:tr w:rsidR="00637636" w:rsidTr="009918A6">
        <w:tc>
          <w:tcPr>
            <w:tcW w:w="817" w:type="dxa"/>
          </w:tcPr>
          <w:p w:rsidR="00637636" w:rsidRPr="00060428" w:rsidRDefault="00637636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3544" w:type="dxa"/>
          </w:tcPr>
          <w:p w:rsidR="00637636" w:rsidRPr="00060428" w:rsidRDefault="00637636" w:rsidP="009918A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Транспортные услуги</w:t>
            </w:r>
          </w:p>
        </w:tc>
        <w:tc>
          <w:tcPr>
            <w:tcW w:w="1134" w:type="dxa"/>
          </w:tcPr>
          <w:p w:rsidR="00637636" w:rsidRPr="00060428" w:rsidRDefault="00F91985" w:rsidP="009918A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551" w:type="dxa"/>
          </w:tcPr>
          <w:p w:rsidR="00637636" w:rsidRPr="00060428" w:rsidRDefault="00F91985" w:rsidP="00F919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24</w:t>
            </w:r>
            <w:r w:rsidR="00637636" w:rsidRPr="00060428">
              <w:rPr>
                <w:color w:val="000000" w:themeColor="text1"/>
                <w:sz w:val="22"/>
                <w:szCs w:val="22"/>
              </w:rPr>
              <w:t> </w:t>
            </w:r>
            <w:r w:rsidRPr="00060428">
              <w:rPr>
                <w:color w:val="000000" w:themeColor="text1"/>
                <w:sz w:val="22"/>
                <w:szCs w:val="22"/>
              </w:rPr>
              <w:t>863</w:t>
            </w:r>
            <w:r w:rsidR="00637636" w:rsidRPr="00060428">
              <w:rPr>
                <w:color w:val="000000" w:themeColor="text1"/>
                <w:sz w:val="22"/>
                <w:szCs w:val="22"/>
              </w:rPr>
              <w:t>,</w:t>
            </w:r>
            <w:r w:rsidRPr="0006042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637636" w:rsidRPr="00F91985" w:rsidRDefault="00F91985" w:rsidP="00F919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60428">
              <w:rPr>
                <w:color w:val="000000" w:themeColor="text1"/>
                <w:sz w:val="22"/>
                <w:szCs w:val="22"/>
              </w:rPr>
              <w:t>50</w:t>
            </w:r>
            <w:r w:rsidR="00637636" w:rsidRPr="00060428">
              <w:rPr>
                <w:color w:val="000000" w:themeColor="text1"/>
                <w:sz w:val="22"/>
                <w:szCs w:val="22"/>
              </w:rPr>
              <w:t> </w:t>
            </w:r>
            <w:r w:rsidRPr="00060428">
              <w:rPr>
                <w:color w:val="000000" w:themeColor="text1"/>
                <w:sz w:val="22"/>
                <w:szCs w:val="22"/>
              </w:rPr>
              <w:t>24</w:t>
            </w:r>
            <w:r w:rsidR="00637636" w:rsidRPr="00060428">
              <w:rPr>
                <w:color w:val="000000" w:themeColor="text1"/>
                <w:sz w:val="22"/>
                <w:szCs w:val="22"/>
              </w:rPr>
              <w:t>8,2</w:t>
            </w:r>
          </w:p>
        </w:tc>
      </w:tr>
      <w:tr w:rsidR="00637636" w:rsidRPr="00BA14CD" w:rsidTr="009918A6">
        <w:tc>
          <w:tcPr>
            <w:tcW w:w="4361" w:type="dxa"/>
            <w:gridSpan w:val="2"/>
          </w:tcPr>
          <w:p w:rsidR="00637636" w:rsidRPr="00467BD6" w:rsidRDefault="00637636" w:rsidP="009918A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7BD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637636" w:rsidRPr="00F91985" w:rsidRDefault="00DA47F5" w:rsidP="009918A6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</w:t>
            </w:r>
          </w:p>
        </w:tc>
        <w:tc>
          <w:tcPr>
            <w:tcW w:w="2551" w:type="dxa"/>
          </w:tcPr>
          <w:p w:rsidR="00637636" w:rsidRPr="00F91985" w:rsidRDefault="00E04B9A" w:rsidP="0006042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1 109 682,3</w:t>
            </w:r>
          </w:p>
        </w:tc>
        <w:tc>
          <w:tcPr>
            <w:tcW w:w="2268" w:type="dxa"/>
          </w:tcPr>
          <w:p w:rsidR="00637636" w:rsidRPr="00F91985" w:rsidRDefault="00E04B9A" w:rsidP="0006042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2 378 129,8</w:t>
            </w:r>
          </w:p>
        </w:tc>
      </w:tr>
    </w:tbl>
    <w:p w:rsidR="00637636" w:rsidRDefault="00637636" w:rsidP="00637636">
      <w:pPr>
        <w:spacing w:line="360" w:lineRule="auto"/>
        <w:ind w:firstLine="709"/>
        <w:jc w:val="both"/>
        <w:rPr>
          <w:sz w:val="24"/>
          <w:szCs w:val="24"/>
        </w:rPr>
      </w:pPr>
    </w:p>
    <w:p w:rsidR="00637636" w:rsidRPr="00320422" w:rsidRDefault="00637636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320422">
        <w:rPr>
          <w:sz w:val="22"/>
          <w:szCs w:val="22"/>
        </w:rPr>
        <w:t>В разрезе отраслевой структуры предоставленных поручительств:</w:t>
      </w:r>
      <w:r w:rsidRPr="00320422">
        <w:rPr>
          <w:color w:val="000000"/>
          <w:sz w:val="22"/>
          <w:szCs w:val="22"/>
        </w:rPr>
        <w:t xml:space="preserve"> производс</w:t>
      </w:r>
      <w:r w:rsidR="00713235">
        <w:rPr>
          <w:color w:val="000000"/>
          <w:sz w:val="22"/>
          <w:szCs w:val="22"/>
        </w:rPr>
        <w:t>тво составляет 2</w:t>
      </w:r>
      <w:r w:rsidR="00C173C9">
        <w:rPr>
          <w:color w:val="000000"/>
          <w:sz w:val="22"/>
          <w:szCs w:val="22"/>
        </w:rPr>
        <w:t>2</w:t>
      </w:r>
      <w:r w:rsidR="00713235">
        <w:rPr>
          <w:color w:val="000000"/>
          <w:sz w:val="22"/>
          <w:szCs w:val="22"/>
        </w:rPr>
        <w:t xml:space="preserve">%, </w:t>
      </w:r>
      <w:r w:rsidRPr="00320422">
        <w:rPr>
          <w:color w:val="000000"/>
          <w:sz w:val="22"/>
          <w:szCs w:val="22"/>
        </w:rPr>
        <w:t>торговля – 4</w:t>
      </w:r>
      <w:r w:rsidR="00C173C9">
        <w:rPr>
          <w:color w:val="000000"/>
          <w:sz w:val="22"/>
          <w:szCs w:val="22"/>
        </w:rPr>
        <w:t>3</w:t>
      </w:r>
      <w:r w:rsidRPr="00320422">
        <w:rPr>
          <w:color w:val="000000"/>
          <w:sz w:val="22"/>
          <w:szCs w:val="22"/>
        </w:rPr>
        <w:t>%, общественное питание, бытовые услуги населению – 1</w:t>
      </w:r>
      <w:r w:rsidR="00C173C9">
        <w:rPr>
          <w:color w:val="000000"/>
          <w:sz w:val="22"/>
          <w:szCs w:val="22"/>
        </w:rPr>
        <w:t>4</w:t>
      </w:r>
      <w:r w:rsidRPr="00320422">
        <w:rPr>
          <w:color w:val="000000"/>
          <w:sz w:val="22"/>
          <w:szCs w:val="22"/>
        </w:rPr>
        <w:t xml:space="preserve">%, строительство — </w:t>
      </w:r>
      <w:r w:rsidR="003E1D3D">
        <w:rPr>
          <w:color w:val="000000"/>
          <w:sz w:val="22"/>
          <w:szCs w:val="22"/>
        </w:rPr>
        <w:t>8</w:t>
      </w:r>
      <w:r w:rsidRPr="00320422">
        <w:rPr>
          <w:color w:val="000000"/>
          <w:sz w:val="22"/>
          <w:szCs w:val="22"/>
        </w:rPr>
        <w:t xml:space="preserve">%, сельское хозяйство – </w:t>
      </w:r>
      <w:r w:rsidR="00713235">
        <w:rPr>
          <w:color w:val="000000"/>
          <w:sz w:val="22"/>
          <w:szCs w:val="22"/>
        </w:rPr>
        <w:t>1</w:t>
      </w:r>
      <w:r w:rsidR="00C173C9">
        <w:rPr>
          <w:color w:val="000000"/>
          <w:sz w:val="22"/>
          <w:szCs w:val="22"/>
        </w:rPr>
        <w:t>1</w:t>
      </w:r>
      <w:r w:rsidRPr="00320422">
        <w:rPr>
          <w:color w:val="000000"/>
          <w:sz w:val="22"/>
          <w:szCs w:val="22"/>
        </w:rPr>
        <w:t xml:space="preserve">%, транспортные услуги – </w:t>
      </w:r>
      <w:r w:rsidR="00C173C9">
        <w:rPr>
          <w:color w:val="000000"/>
          <w:sz w:val="22"/>
          <w:szCs w:val="22"/>
        </w:rPr>
        <w:t>2</w:t>
      </w:r>
      <w:r w:rsidRPr="00320422">
        <w:rPr>
          <w:color w:val="000000"/>
          <w:sz w:val="22"/>
          <w:szCs w:val="22"/>
        </w:rPr>
        <w:t>%.</w:t>
      </w:r>
    </w:p>
    <w:p w:rsidR="00637636" w:rsidRPr="00320422" w:rsidRDefault="006376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Организациями–участниками программы поддержки субъектов МСБ за период работы фонда  сохранено  </w:t>
      </w:r>
      <w:r w:rsidR="00C173C9">
        <w:rPr>
          <w:sz w:val="22"/>
          <w:szCs w:val="22"/>
        </w:rPr>
        <w:t>2 591</w:t>
      </w:r>
      <w:r w:rsidR="003E1D3D">
        <w:rPr>
          <w:sz w:val="22"/>
          <w:szCs w:val="22"/>
        </w:rPr>
        <w:t xml:space="preserve"> и создано 8</w:t>
      </w:r>
      <w:r w:rsidR="00C173C9">
        <w:rPr>
          <w:sz w:val="22"/>
          <w:szCs w:val="22"/>
        </w:rPr>
        <w:t>15</w:t>
      </w:r>
      <w:r w:rsidRPr="00320422">
        <w:rPr>
          <w:sz w:val="22"/>
          <w:szCs w:val="22"/>
        </w:rPr>
        <w:t xml:space="preserve"> рабочих мест. </w:t>
      </w:r>
    </w:p>
    <w:p w:rsidR="00637636" w:rsidRPr="00E477A9" w:rsidRDefault="00637636" w:rsidP="00637636">
      <w:pPr>
        <w:spacing w:line="360" w:lineRule="auto"/>
        <w:jc w:val="center"/>
        <w:rPr>
          <w:b/>
          <w:sz w:val="24"/>
          <w:szCs w:val="24"/>
        </w:rPr>
      </w:pPr>
      <w:r w:rsidRPr="00E477A9">
        <w:rPr>
          <w:b/>
          <w:sz w:val="24"/>
          <w:szCs w:val="24"/>
        </w:rPr>
        <w:t>Структура освоения денежных средств выделенных Фонду из  бюджетов на 01.0</w:t>
      </w:r>
      <w:r w:rsidR="00E27BA7">
        <w:rPr>
          <w:b/>
          <w:sz w:val="24"/>
          <w:szCs w:val="24"/>
        </w:rPr>
        <w:t>7</w:t>
      </w:r>
      <w:r w:rsidRPr="00E477A9">
        <w:rPr>
          <w:b/>
          <w:sz w:val="24"/>
          <w:szCs w:val="24"/>
        </w:rPr>
        <w:t>.201</w:t>
      </w:r>
      <w:r w:rsidR="009918A6">
        <w:rPr>
          <w:b/>
          <w:sz w:val="24"/>
          <w:szCs w:val="24"/>
        </w:rPr>
        <w:t>5</w:t>
      </w:r>
      <w:r w:rsidRPr="00E477A9">
        <w:rPr>
          <w:b/>
          <w:sz w:val="24"/>
          <w:szCs w:val="24"/>
        </w:rPr>
        <w:t xml:space="preserve"> г.</w:t>
      </w:r>
    </w:p>
    <w:p w:rsidR="00637636" w:rsidRPr="00E477A9" w:rsidRDefault="00637636" w:rsidP="00637636">
      <w:pPr>
        <w:spacing w:line="360" w:lineRule="auto"/>
        <w:jc w:val="right"/>
        <w:rPr>
          <w:sz w:val="24"/>
          <w:szCs w:val="24"/>
        </w:rPr>
      </w:pPr>
      <w:r w:rsidRPr="00E477A9">
        <w:rPr>
          <w:sz w:val="24"/>
          <w:szCs w:val="24"/>
        </w:rPr>
        <w:t>Табл.5</w:t>
      </w:r>
    </w:p>
    <w:tbl>
      <w:tblPr>
        <w:tblW w:w="10349" w:type="dxa"/>
        <w:tblInd w:w="-35" w:type="dxa"/>
        <w:tblLayout w:type="fixed"/>
        <w:tblLook w:val="0000"/>
      </w:tblPr>
      <w:tblGrid>
        <w:gridCol w:w="674"/>
        <w:gridCol w:w="4714"/>
        <w:gridCol w:w="4961"/>
      </w:tblGrid>
      <w:tr w:rsidR="00637636" w:rsidRPr="00E477A9" w:rsidTr="00BF471C">
        <w:trPr>
          <w:trHeight w:val="3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right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477A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477A9">
              <w:rPr>
                <w:sz w:val="22"/>
                <w:szCs w:val="22"/>
              </w:rPr>
              <w:t>/</w:t>
            </w:r>
            <w:proofErr w:type="spellStart"/>
            <w:r w:rsidRPr="00E477A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center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>Бюджеты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center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>Сумма выделенных средств, тыс</w:t>
            </w:r>
            <w:proofErr w:type="gramStart"/>
            <w:r w:rsidRPr="00E477A9">
              <w:rPr>
                <w:sz w:val="22"/>
                <w:szCs w:val="22"/>
              </w:rPr>
              <w:t>.р</w:t>
            </w:r>
            <w:proofErr w:type="gramEnd"/>
            <w:r w:rsidRPr="00E477A9">
              <w:rPr>
                <w:sz w:val="22"/>
                <w:szCs w:val="22"/>
              </w:rPr>
              <w:t>уб.</w:t>
            </w:r>
          </w:p>
        </w:tc>
      </w:tr>
      <w:tr w:rsidR="00637636" w:rsidRPr="00E477A9" w:rsidTr="00BF471C">
        <w:trPr>
          <w:trHeight w:val="3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right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center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>26</w:t>
            </w:r>
            <w:r w:rsidR="00700512">
              <w:rPr>
                <w:sz w:val="22"/>
                <w:szCs w:val="22"/>
              </w:rPr>
              <w:t xml:space="preserve"> </w:t>
            </w:r>
            <w:r w:rsidRPr="00E477A9">
              <w:rPr>
                <w:sz w:val="22"/>
                <w:szCs w:val="22"/>
              </w:rPr>
              <w:t>415</w:t>
            </w:r>
          </w:p>
        </w:tc>
      </w:tr>
      <w:tr w:rsidR="00637636" w:rsidRPr="00E477A9" w:rsidTr="00BF471C">
        <w:trPr>
          <w:trHeight w:val="3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right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>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center"/>
              <w:rPr>
                <w:sz w:val="22"/>
                <w:szCs w:val="22"/>
              </w:rPr>
            </w:pPr>
            <w:r w:rsidRPr="00E477A9">
              <w:rPr>
                <w:sz w:val="22"/>
                <w:szCs w:val="22"/>
              </w:rPr>
              <w:t>176</w:t>
            </w:r>
            <w:r w:rsidR="00700512">
              <w:rPr>
                <w:sz w:val="22"/>
                <w:szCs w:val="22"/>
              </w:rPr>
              <w:t xml:space="preserve"> </w:t>
            </w:r>
            <w:r w:rsidRPr="00E477A9">
              <w:rPr>
                <w:sz w:val="22"/>
                <w:szCs w:val="22"/>
              </w:rPr>
              <w:t>927</w:t>
            </w:r>
          </w:p>
        </w:tc>
      </w:tr>
      <w:tr w:rsidR="00637636" w:rsidRPr="00E477A9" w:rsidTr="00BF471C">
        <w:trPr>
          <w:trHeight w:val="3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rPr>
                <w:b/>
                <w:sz w:val="22"/>
                <w:szCs w:val="22"/>
              </w:rPr>
            </w:pPr>
            <w:r w:rsidRPr="00E477A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636" w:rsidRPr="00E477A9" w:rsidRDefault="00637636" w:rsidP="009918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477A9">
              <w:rPr>
                <w:b/>
                <w:sz w:val="22"/>
                <w:szCs w:val="22"/>
              </w:rPr>
              <w:t>203</w:t>
            </w:r>
            <w:r w:rsidR="00700512">
              <w:rPr>
                <w:b/>
                <w:sz w:val="22"/>
                <w:szCs w:val="22"/>
              </w:rPr>
              <w:t xml:space="preserve"> </w:t>
            </w:r>
            <w:r w:rsidRPr="00E477A9">
              <w:rPr>
                <w:b/>
                <w:sz w:val="22"/>
                <w:szCs w:val="22"/>
              </w:rPr>
              <w:t>342</w:t>
            </w:r>
          </w:p>
        </w:tc>
      </w:tr>
    </w:tbl>
    <w:p w:rsidR="00637636" w:rsidRPr="00E477A9" w:rsidRDefault="00637636" w:rsidP="00637636">
      <w:pPr>
        <w:spacing w:line="360" w:lineRule="auto"/>
        <w:ind w:firstLine="709"/>
        <w:jc w:val="both"/>
      </w:pPr>
    </w:p>
    <w:p w:rsidR="00F80CBF" w:rsidRDefault="00637636" w:rsidP="00320422">
      <w:pPr>
        <w:spacing w:line="360" w:lineRule="auto"/>
        <w:ind w:firstLine="708"/>
        <w:jc w:val="both"/>
        <w:rPr>
          <w:sz w:val="22"/>
          <w:szCs w:val="22"/>
        </w:rPr>
      </w:pPr>
      <w:r w:rsidRPr="00320422">
        <w:rPr>
          <w:sz w:val="22"/>
          <w:szCs w:val="22"/>
        </w:rPr>
        <w:t>На реализацию данной меры поддержки предпринимательства выделено 203,3 млн. руб., за счет регионального бюджета 26,4 млн</w:t>
      </w:r>
      <w:proofErr w:type="gramStart"/>
      <w:r w:rsidRPr="00320422">
        <w:rPr>
          <w:sz w:val="22"/>
          <w:szCs w:val="22"/>
        </w:rPr>
        <w:t>.р</w:t>
      </w:r>
      <w:proofErr w:type="gramEnd"/>
      <w:r w:rsidRPr="00320422">
        <w:rPr>
          <w:sz w:val="22"/>
          <w:szCs w:val="22"/>
        </w:rPr>
        <w:t>уб</w:t>
      </w:r>
      <w:r w:rsidRPr="00EC24C0">
        <w:rPr>
          <w:sz w:val="22"/>
          <w:szCs w:val="22"/>
        </w:rPr>
        <w:t xml:space="preserve">., федерального бюджета 176,9 млн.руб. За весь период действия Фонда гарантийный Фонд был увеличен </w:t>
      </w:r>
      <w:r w:rsidRPr="005A25D0">
        <w:rPr>
          <w:sz w:val="22"/>
          <w:szCs w:val="22"/>
        </w:rPr>
        <w:t xml:space="preserve">на </w:t>
      </w:r>
      <w:r w:rsidR="005A25D0" w:rsidRPr="005A25D0">
        <w:rPr>
          <w:sz w:val="22"/>
          <w:szCs w:val="22"/>
        </w:rPr>
        <w:t>83</w:t>
      </w:r>
      <w:r w:rsidR="00EC24C0" w:rsidRPr="005A25D0">
        <w:rPr>
          <w:sz w:val="22"/>
          <w:szCs w:val="22"/>
        </w:rPr>
        <w:t>,</w:t>
      </w:r>
      <w:r w:rsidR="005A25D0" w:rsidRPr="005A25D0">
        <w:rPr>
          <w:sz w:val="22"/>
          <w:szCs w:val="22"/>
        </w:rPr>
        <w:t>7</w:t>
      </w:r>
      <w:r w:rsidRPr="005A25D0">
        <w:rPr>
          <w:sz w:val="22"/>
          <w:szCs w:val="22"/>
        </w:rPr>
        <w:t xml:space="preserve"> млн</w:t>
      </w:r>
      <w:r w:rsidRPr="00EC24C0">
        <w:rPr>
          <w:sz w:val="22"/>
          <w:szCs w:val="22"/>
        </w:rPr>
        <w:t>.руб., за счет средств</w:t>
      </w:r>
      <w:r w:rsidRPr="00320422">
        <w:rPr>
          <w:sz w:val="22"/>
          <w:szCs w:val="22"/>
        </w:rPr>
        <w:t xml:space="preserve"> от ведения предпринимательской деятельности (размещения средств фонда в депозиты, комиссия за предоставления поручительства). </w:t>
      </w:r>
    </w:p>
    <w:p w:rsidR="00F80CBF" w:rsidRPr="00552A1C" w:rsidRDefault="00F80CBF" w:rsidP="00F80CB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552A1C">
        <w:rPr>
          <w:b/>
          <w:sz w:val="24"/>
          <w:szCs w:val="24"/>
        </w:rPr>
        <w:t>азмер гарантийного фонда, тыс</w:t>
      </w:r>
      <w:proofErr w:type="gramStart"/>
      <w:r w:rsidRPr="00552A1C">
        <w:rPr>
          <w:b/>
          <w:sz w:val="24"/>
          <w:szCs w:val="24"/>
        </w:rPr>
        <w:t>.р</w:t>
      </w:r>
      <w:proofErr w:type="gramEnd"/>
      <w:r w:rsidRPr="00552A1C">
        <w:rPr>
          <w:b/>
          <w:sz w:val="24"/>
          <w:szCs w:val="24"/>
        </w:rPr>
        <w:t>уб.</w:t>
      </w:r>
    </w:p>
    <w:p w:rsidR="00F80CBF" w:rsidRPr="004F5BFA" w:rsidRDefault="00F80CBF" w:rsidP="00F80C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Табл. 6</w:t>
      </w:r>
    </w:p>
    <w:tbl>
      <w:tblPr>
        <w:tblStyle w:val="a3"/>
        <w:tblW w:w="10456" w:type="dxa"/>
        <w:tblLayout w:type="fixed"/>
        <w:tblLook w:val="04A0"/>
      </w:tblPr>
      <w:tblGrid>
        <w:gridCol w:w="2660"/>
        <w:gridCol w:w="1276"/>
        <w:gridCol w:w="1275"/>
        <w:gridCol w:w="1418"/>
        <w:gridCol w:w="1276"/>
        <w:gridCol w:w="1275"/>
        <w:gridCol w:w="1276"/>
      </w:tblGrid>
      <w:tr w:rsidR="00F80CBF" w:rsidTr="00BF471C">
        <w:trPr>
          <w:trHeight w:val="299"/>
        </w:trPr>
        <w:tc>
          <w:tcPr>
            <w:tcW w:w="2660" w:type="dxa"/>
          </w:tcPr>
          <w:p w:rsidR="00F80CBF" w:rsidRPr="006A66FF" w:rsidRDefault="00F80CBF" w:rsidP="00252975">
            <w:pPr>
              <w:spacing w:line="360" w:lineRule="auto"/>
              <w:rPr>
                <w:b/>
                <w:sz w:val="22"/>
                <w:szCs w:val="22"/>
              </w:rPr>
            </w:pPr>
            <w:r w:rsidRPr="006A66FF">
              <w:rPr>
                <w:b/>
                <w:sz w:val="22"/>
                <w:szCs w:val="22"/>
              </w:rPr>
              <w:t xml:space="preserve">            Наименование</w:t>
            </w:r>
          </w:p>
        </w:tc>
        <w:tc>
          <w:tcPr>
            <w:tcW w:w="1276" w:type="dxa"/>
          </w:tcPr>
          <w:p w:rsidR="00F80CBF" w:rsidRPr="006A66FF" w:rsidRDefault="00F80CBF" w:rsidP="00252975">
            <w:pPr>
              <w:spacing w:line="360" w:lineRule="auto"/>
              <w:rPr>
                <w:b/>
                <w:sz w:val="22"/>
                <w:szCs w:val="22"/>
              </w:rPr>
            </w:pPr>
            <w:r w:rsidRPr="006A66FF">
              <w:rPr>
                <w:b/>
                <w:sz w:val="22"/>
                <w:szCs w:val="22"/>
              </w:rPr>
              <w:t>2010 г.</w:t>
            </w:r>
          </w:p>
        </w:tc>
        <w:tc>
          <w:tcPr>
            <w:tcW w:w="1275" w:type="dxa"/>
          </w:tcPr>
          <w:p w:rsidR="00F80CBF" w:rsidRPr="006A66FF" w:rsidRDefault="00F80CBF" w:rsidP="00252975">
            <w:pPr>
              <w:spacing w:line="360" w:lineRule="auto"/>
              <w:rPr>
                <w:b/>
                <w:sz w:val="22"/>
                <w:szCs w:val="22"/>
              </w:rPr>
            </w:pPr>
            <w:r w:rsidRPr="006A66FF">
              <w:rPr>
                <w:b/>
                <w:sz w:val="22"/>
                <w:szCs w:val="22"/>
              </w:rPr>
              <w:t>2011 г.</w:t>
            </w:r>
          </w:p>
        </w:tc>
        <w:tc>
          <w:tcPr>
            <w:tcW w:w="1418" w:type="dxa"/>
          </w:tcPr>
          <w:p w:rsidR="00F80CBF" w:rsidRPr="006A66FF" w:rsidRDefault="00F80CBF" w:rsidP="00252975">
            <w:pPr>
              <w:spacing w:line="360" w:lineRule="auto"/>
              <w:rPr>
                <w:b/>
                <w:sz w:val="22"/>
                <w:szCs w:val="22"/>
              </w:rPr>
            </w:pPr>
            <w:r w:rsidRPr="006A66FF">
              <w:rPr>
                <w:b/>
                <w:sz w:val="22"/>
                <w:szCs w:val="22"/>
              </w:rPr>
              <w:t>2012 г.</w:t>
            </w:r>
          </w:p>
        </w:tc>
        <w:tc>
          <w:tcPr>
            <w:tcW w:w="1276" w:type="dxa"/>
          </w:tcPr>
          <w:p w:rsidR="00F80CBF" w:rsidRPr="006A66FF" w:rsidRDefault="00F80CBF" w:rsidP="00252975">
            <w:pPr>
              <w:spacing w:line="360" w:lineRule="auto"/>
              <w:rPr>
                <w:b/>
                <w:sz w:val="22"/>
                <w:szCs w:val="22"/>
              </w:rPr>
            </w:pPr>
            <w:r w:rsidRPr="006A66FF">
              <w:rPr>
                <w:b/>
                <w:sz w:val="22"/>
                <w:szCs w:val="22"/>
              </w:rPr>
              <w:t>2013 г.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80CBF" w:rsidRPr="006A66FF" w:rsidRDefault="00F80CBF" w:rsidP="00252975">
            <w:pPr>
              <w:spacing w:line="360" w:lineRule="auto"/>
              <w:rPr>
                <w:b/>
                <w:sz w:val="22"/>
                <w:szCs w:val="22"/>
              </w:rPr>
            </w:pPr>
            <w:r w:rsidRPr="006A66FF">
              <w:rPr>
                <w:b/>
                <w:sz w:val="22"/>
                <w:szCs w:val="22"/>
              </w:rPr>
              <w:t>2014 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80CBF" w:rsidRPr="00EC24C0" w:rsidRDefault="00F80CBF" w:rsidP="00F80CBF">
            <w:pPr>
              <w:spacing w:line="360" w:lineRule="auto"/>
              <w:rPr>
                <w:b/>
                <w:sz w:val="22"/>
                <w:szCs w:val="22"/>
              </w:rPr>
            </w:pPr>
            <w:r w:rsidRPr="00EC24C0">
              <w:rPr>
                <w:b/>
                <w:sz w:val="22"/>
                <w:szCs w:val="22"/>
              </w:rPr>
              <w:t>2015 г.</w:t>
            </w:r>
          </w:p>
        </w:tc>
      </w:tr>
      <w:tr w:rsidR="00F80CBF" w:rsidTr="00BF471C">
        <w:tc>
          <w:tcPr>
            <w:tcW w:w="2660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Гарантийный фонд в денежном выражении, тыс</w:t>
            </w:r>
            <w:proofErr w:type="gramStart"/>
            <w:r w:rsidRPr="00FC39B7">
              <w:rPr>
                <w:sz w:val="22"/>
                <w:szCs w:val="22"/>
              </w:rPr>
              <w:t>.р</w:t>
            </w:r>
            <w:proofErr w:type="gramEnd"/>
            <w:r w:rsidRPr="00FC39B7">
              <w:rPr>
                <w:sz w:val="22"/>
                <w:szCs w:val="22"/>
              </w:rPr>
              <w:t>уб.</w:t>
            </w:r>
          </w:p>
        </w:tc>
        <w:tc>
          <w:tcPr>
            <w:tcW w:w="1276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184 708,00</w:t>
            </w:r>
          </w:p>
        </w:tc>
        <w:tc>
          <w:tcPr>
            <w:tcW w:w="1275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198 202,00</w:t>
            </w:r>
          </w:p>
        </w:tc>
        <w:tc>
          <w:tcPr>
            <w:tcW w:w="1418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214 311,00</w:t>
            </w:r>
          </w:p>
        </w:tc>
        <w:tc>
          <w:tcPr>
            <w:tcW w:w="1276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232 000,00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80CBF" w:rsidRPr="00FC39B7" w:rsidRDefault="00F80CBF" w:rsidP="008932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3278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 </w:t>
            </w:r>
            <w:r w:rsidR="0089327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80CBF" w:rsidRPr="00FC39B7" w:rsidRDefault="00BF471C" w:rsidP="00D96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968F5">
              <w:rPr>
                <w:sz w:val="22"/>
                <w:szCs w:val="22"/>
              </w:rPr>
              <w:t>2</w:t>
            </w:r>
            <w:r w:rsidR="00D968F5" w:rsidRPr="00D968F5">
              <w:rPr>
                <w:sz w:val="22"/>
                <w:szCs w:val="22"/>
              </w:rPr>
              <w:t>87</w:t>
            </w:r>
            <w:r w:rsidR="00EC24C0" w:rsidRPr="00D968F5">
              <w:rPr>
                <w:sz w:val="22"/>
                <w:szCs w:val="22"/>
              </w:rPr>
              <w:t xml:space="preserve"> </w:t>
            </w:r>
            <w:r w:rsidRPr="00D968F5">
              <w:rPr>
                <w:sz w:val="22"/>
                <w:szCs w:val="22"/>
              </w:rPr>
              <w:t>0</w:t>
            </w:r>
            <w:r w:rsidR="00D968F5" w:rsidRPr="00D968F5">
              <w:rPr>
                <w:sz w:val="22"/>
                <w:szCs w:val="22"/>
              </w:rPr>
              <w:t>50</w:t>
            </w:r>
            <w:r w:rsidRPr="00D968F5">
              <w:rPr>
                <w:sz w:val="22"/>
                <w:szCs w:val="22"/>
              </w:rPr>
              <w:t>,00</w:t>
            </w:r>
          </w:p>
        </w:tc>
      </w:tr>
      <w:tr w:rsidR="00F80CBF" w:rsidTr="00BF471C">
        <w:tc>
          <w:tcPr>
            <w:tcW w:w="2660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Гарантийный фонд с учетом мультипликатора, тыс</w:t>
            </w:r>
            <w:proofErr w:type="gramStart"/>
            <w:r w:rsidRPr="00FC39B7">
              <w:rPr>
                <w:sz w:val="22"/>
                <w:szCs w:val="22"/>
              </w:rPr>
              <w:t>.р</w:t>
            </w:r>
            <w:proofErr w:type="gramEnd"/>
            <w:r w:rsidRPr="00FC39B7">
              <w:rPr>
                <w:sz w:val="22"/>
                <w:szCs w:val="22"/>
              </w:rPr>
              <w:t>уб.</w:t>
            </w:r>
          </w:p>
        </w:tc>
        <w:tc>
          <w:tcPr>
            <w:tcW w:w="1276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210 000,00</w:t>
            </w:r>
          </w:p>
        </w:tc>
        <w:tc>
          <w:tcPr>
            <w:tcW w:w="1275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590 000,00</w:t>
            </w:r>
          </w:p>
        </w:tc>
        <w:tc>
          <w:tcPr>
            <w:tcW w:w="1418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768000,00</w:t>
            </w:r>
          </w:p>
        </w:tc>
        <w:tc>
          <w:tcPr>
            <w:tcW w:w="1276" w:type="dxa"/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39B7">
              <w:rPr>
                <w:sz w:val="22"/>
                <w:szCs w:val="22"/>
              </w:rPr>
              <w:t>790 000,00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80CBF" w:rsidRPr="00FC39B7" w:rsidRDefault="00F80CBF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80CBF" w:rsidRPr="00FC39B7" w:rsidRDefault="00D968F5" w:rsidP="0025297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861 000,0</w:t>
            </w:r>
          </w:p>
        </w:tc>
      </w:tr>
    </w:tbl>
    <w:p w:rsidR="00F80CBF" w:rsidRDefault="00F80CBF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EB748C" w:rsidRPr="00EB748C" w:rsidRDefault="002B2EDF" w:rsidP="00841A0D">
      <w:pPr>
        <w:spacing w:line="360" w:lineRule="auto"/>
        <w:ind w:firstLine="708"/>
        <w:jc w:val="both"/>
        <w:rPr>
          <w:sz w:val="22"/>
          <w:szCs w:val="22"/>
        </w:rPr>
      </w:pPr>
      <w:r w:rsidRPr="00E70238">
        <w:rPr>
          <w:sz w:val="22"/>
          <w:szCs w:val="22"/>
        </w:rPr>
        <w:t xml:space="preserve">    </w:t>
      </w:r>
    </w:p>
    <w:p w:rsidR="00637636" w:rsidRDefault="00637636"/>
    <w:p w:rsidR="00637636" w:rsidRDefault="00637636">
      <w:r>
        <w:t xml:space="preserve">Исполнительный директор </w:t>
      </w:r>
      <w:r w:rsidR="00EB748C">
        <w:t xml:space="preserve">                                                                                                                  </w:t>
      </w:r>
      <w:r>
        <w:t>Кузнецова О.П.</w:t>
      </w:r>
    </w:p>
    <w:sectPr w:rsidR="00637636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637636"/>
    <w:rsid w:val="00001FC8"/>
    <w:rsid w:val="000028E7"/>
    <w:rsid w:val="00004705"/>
    <w:rsid w:val="00005150"/>
    <w:rsid w:val="0000605C"/>
    <w:rsid w:val="00007D2A"/>
    <w:rsid w:val="00010BFB"/>
    <w:rsid w:val="00015370"/>
    <w:rsid w:val="000202F6"/>
    <w:rsid w:val="00024C5C"/>
    <w:rsid w:val="00024DBF"/>
    <w:rsid w:val="0003367D"/>
    <w:rsid w:val="00035069"/>
    <w:rsid w:val="0003535D"/>
    <w:rsid w:val="000428A0"/>
    <w:rsid w:val="00043516"/>
    <w:rsid w:val="0004449B"/>
    <w:rsid w:val="00054920"/>
    <w:rsid w:val="00055AAC"/>
    <w:rsid w:val="00060428"/>
    <w:rsid w:val="0006277B"/>
    <w:rsid w:val="000631F7"/>
    <w:rsid w:val="000713F6"/>
    <w:rsid w:val="00073F45"/>
    <w:rsid w:val="00073FDF"/>
    <w:rsid w:val="000745EF"/>
    <w:rsid w:val="00075223"/>
    <w:rsid w:val="00076BD5"/>
    <w:rsid w:val="000776EA"/>
    <w:rsid w:val="000777E5"/>
    <w:rsid w:val="00077CFC"/>
    <w:rsid w:val="000902E2"/>
    <w:rsid w:val="00092D0A"/>
    <w:rsid w:val="00092D70"/>
    <w:rsid w:val="00094A43"/>
    <w:rsid w:val="00096AEA"/>
    <w:rsid w:val="000977A9"/>
    <w:rsid w:val="000978A5"/>
    <w:rsid w:val="000A3459"/>
    <w:rsid w:val="000B1618"/>
    <w:rsid w:val="000B1FE3"/>
    <w:rsid w:val="000B65A6"/>
    <w:rsid w:val="000C205F"/>
    <w:rsid w:val="000C6484"/>
    <w:rsid w:val="000C68C3"/>
    <w:rsid w:val="000D049A"/>
    <w:rsid w:val="000D05A1"/>
    <w:rsid w:val="000D5AC9"/>
    <w:rsid w:val="000D68C4"/>
    <w:rsid w:val="000D6C73"/>
    <w:rsid w:val="000D6FD3"/>
    <w:rsid w:val="000E165C"/>
    <w:rsid w:val="000E192D"/>
    <w:rsid w:val="000E508A"/>
    <w:rsid w:val="000E5796"/>
    <w:rsid w:val="000E6B19"/>
    <w:rsid w:val="000F2D4D"/>
    <w:rsid w:val="000F3645"/>
    <w:rsid w:val="000F389D"/>
    <w:rsid w:val="00101924"/>
    <w:rsid w:val="0010295A"/>
    <w:rsid w:val="00103251"/>
    <w:rsid w:val="00111346"/>
    <w:rsid w:val="0011444C"/>
    <w:rsid w:val="0011491E"/>
    <w:rsid w:val="00114F1D"/>
    <w:rsid w:val="00115B27"/>
    <w:rsid w:val="0012328C"/>
    <w:rsid w:val="001263AA"/>
    <w:rsid w:val="00126B4A"/>
    <w:rsid w:val="00126DE2"/>
    <w:rsid w:val="00135936"/>
    <w:rsid w:val="00140BC0"/>
    <w:rsid w:val="001442A2"/>
    <w:rsid w:val="00145C6A"/>
    <w:rsid w:val="00147302"/>
    <w:rsid w:val="00154696"/>
    <w:rsid w:val="00155403"/>
    <w:rsid w:val="0016152C"/>
    <w:rsid w:val="00161999"/>
    <w:rsid w:val="00167365"/>
    <w:rsid w:val="00170D17"/>
    <w:rsid w:val="00170E51"/>
    <w:rsid w:val="00171C15"/>
    <w:rsid w:val="00171D66"/>
    <w:rsid w:val="001729A4"/>
    <w:rsid w:val="00175340"/>
    <w:rsid w:val="0017642D"/>
    <w:rsid w:val="001802CB"/>
    <w:rsid w:val="00181CE6"/>
    <w:rsid w:val="001874E2"/>
    <w:rsid w:val="00190E67"/>
    <w:rsid w:val="00190E96"/>
    <w:rsid w:val="00191F89"/>
    <w:rsid w:val="00192DAA"/>
    <w:rsid w:val="0019763D"/>
    <w:rsid w:val="001A04B8"/>
    <w:rsid w:val="001A13A2"/>
    <w:rsid w:val="001A251D"/>
    <w:rsid w:val="001A3344"/>
    <w:rsid w:val="001A71E9"/>
    <w:rsid w:val="001B37E2"/>
    <w:rsid w:val="001B6AE0"/>
    <w:rsid w:val="001C1D08"/>
    <w:rsid w:val="001C4B46"/>
    <w:rsid w:val="001C5047"/>
    <w:rsid w:val="001C797E"/>
    <w:rsid w:val="001D1D46"/>
    <w:rsid w:val="001D2474"/>
    <w:rsid w:val="001D2997"/>
    <w:rsid w:val="001E2BFF"/>
    <w:rsid w:val="001E3739"/>
    <w:rsid w:val="001E63B9"/>
    <w:rsid w:val="001E6D51"/>
    <w:rsid w:val="001E73EA"/>
    <w:rsid w:val="001F1CF3"/>
    <w:rsid w:val="001F34B1"/>
    <w:rsid w:val="001F5DBC"/>
    <w:rsid w:val="001F7941"/>
    <w:rsid w:val="00201054"/>
    <w:rsid w:val="00203138"/>
    <w:rsid w:val="002042B9"/>
    <w:rsid w:val="00205CCE"/>
    <w:rsid w:val="0020643C"/>
    <w:rsid w:val="002105E1"/>
    <w:rsid w:val="00210F16"/>
    <w:rsid w:val="00212557"/>
    <w:rsid w:val="00214D0C"/>
    <w:rsid w:val="00214D27"/>
    <w:rsid w:val="002172A4"/>
    <w:rsid w:val="00217CAF"/>
    <w:rsid w:val="00223BEC"/>
    <w:rsid w:val="00230B92"/>
    <w:rsid w:val="002339F2"/>
    <w:rsid w:val="00235BB5"/>
    <w:rsid w:val="002404B0"/>
    <w:rsid w:val="002454B7"/>
    <w:rsid w:val="00252975"/>
    <w:rsid w:val="00253352"/>
    <w:rsid w:val="0026129B"/>
    <w:rsid w:val="00262F1F"/>
    <w:rsid w:val="00263634"/>
    <w:rsid w:val="00282185"/>
    <w:rsid w:val="002826C1"/>
    <w:rsid w:val="00294468"/>
    <w:rsid w:val="00296669"/>
    <w:rsid w:val="002977CD"/>
    <w:rsid w:val="002A0C6D"/>
    <w:rsid w:val="002A3F04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2C78"/>
    <w:rsid w:val="002C3F7E"/>
    <w:rsid w:val="002D0E1A"/>
    <w:rsid w:val="002D45D3"/>
    <w:rsid w:val="002D68F4"/>
    <w:rsid w:val="002D6D5F"/>
    <w:rsid w:val="002E4BD2"/>
    <w:rsid w:val="002E5425"/>
    <w:rsid w:val="002F0D95"/>
    <w:rsid w:val="002F1614"/>
    <w:rsid w:val="002F36EB"/>
    <w:rsid w:val="003001B6"/>
    <w:rsid w:val="00302601"/>
    <w:rsid w:val="00303DB2"/>
    <w:rsid w:val="0030452B"/>
    <w:rsid w:val="00306239"/>
    <w:rsid w:val="00306665"/>
    <w:rsid w:val="003070C6"/>
    <w:rsid w:val="003201FE"/>
    <w:rsid w:val="00320422"/>
    <w:rsid w:val="00320A99"/>
    <w:rsid w:val="00320DB0"/>
    <w:rsid w:val="00321D21"/>
    <w:rsid w:val="00326177"/>
    <w:rsid w:val="00327F65"/>
    <w:rsid w:val="00332AD1"/>
    <w:rsid w:val="003351BE"/>
    <w:rsid w:val="00350333"/>
    <w:rsid w:val="003507A5"/>
    <w:rsid w:val="00351773"/>
    <w:rsid w:val="00351EAD"/>
    <w:rsid w:val="003612F0"/>
    <w:rsid w:val="00367AE3"/>
    <w:rsid w:val="00373113"/>
    <w:rsid w:val="0037355B"/>
    <w:rsid w:val="00374506"/>
    <w:rsid w:val="00375F28"/>
    <w:rsid w:val="00377198"/>
    <w:rsid w:val="00377E19"/>
    <w:rsid w:val="00383D93"/>
    <w:rsid w:val="0038403D"/>
    <w:rsid w:val="00385685"/>
    <w:rsid w:val="00386D99"/>
    <w:rsid w:val="003919D5"/>
    <w:rsid w:val="0039461B"/>
    <w:rsid w:val="00397982"/>
    <w:rsid w:val="003A09A8"/>
    <w:rsid w:val="003A4AAC"/>
    <w:rsid w:val="003A4C48"/>
    <w:rsid w:val="003B3020"/>
    <w:rsid w:val="003B6203"/>
    <w:rsid w:val="003B7148"/>
    <w:rsid w:val="003C2D78"/>
    <w:rsid w:val="003C3C08"/>
    <w:rsid w:val="003D15D8"/>
    <w:rsid w:val="003D2D66"/>
    <w:rsid w:val="003D3679"/>
    <w:rsid w:val="003D4929"/>
    <w:rsid w:val="003D65F7"/>
    <w:rsid w:val="003D6A29"/>
    <w:rsid w:val="003E1D3D"/>
    <w:rsid w:val="003E244E"/>
    <w:rsid w:val="003E5837"/>
    <w:rsid w:val="003E7767"/>
    <w:rsid w:val="003F0F89"/>
    <w:rsid w:val="003F2E23"/>
    <w:rsid w:val="003F696C"/>
    <w:rsid w:val="003F6DB5"/>
    <w:rsid w:val="00403AB0"/>
    <w:rsid w:val="00406E40"/>
    <w:rsid w:val="0041321D"/>
    <w:rsid w:val="00415A29"/>
    <w:rsid w:val="004230B8"/>
    <w:rsid w:val="00423FF8"/>
    <w:rsid w:val="0042509C"/>
    <w:rsid w:val="004250FE"/>
    <w:rsid w:val="004277AE"/>
    <w:rsid w:val="00433DBC"/>
    <w:rsid w:val="00437A53"/>
    <w:rsid w:val="004416FD"/>
    <w:rsid w:val="00442133"/>
    <w:rsid w:val="00442F92"/>
    <w:rsid w:val="00443489"/>
    <w:rsid w:val="00450129"/>
    <w:rsid w:val="00450BCD"/>
    <w:rsid w:val="00454402"/>
    <w:rsid w:val="00454B81"/>
    <w:rsid w:val="004564DB"/>
    <w:rsid w:val="00462C05"/>
    <w:rsid w:val="00464E1B"/>
    <w:rsid w:val="00465D36"/>
    <w:rsid w:val="00466051"/>
    <w:rsid w:val="004748EF"/>
    <w:rsid w:val="00475261"/>
    <w:rsid w:val="00476D1F"/>
    <w:rsid w:val="004822D5"/>
    <w:rsid w:val="004845E1"/>
    <w:rsid w:val="0048505D"/>
    <w:rsid w:val="004872E3"/>
    <w:rsid w:val="00490685"/>
    <w:rsid w:val="004920ED"/>
    <w:rsid w:val="00494033"/>
    <w:rsid w:val="00495A71"/>
    <w:rsid w:val="0049778D"/>
    <w:rsid w:val="004A03C0"/>
    <w:rsid w:val="004A0869"/>
    <w:rsid w:val="004A344B"/>
    <w:rsid w:val="004B020F"/>
    <w:rsid w:val="004B05B1"/>
    <w:rsid w:val="004B1AC6"/>
    <w:rsid w:val="004B2D35"/>
    <w:rsid w:val="004B3816"/>
    <w:rsid w:val="004B3CA7"/>
    <w:rsid w:val="004B4C7E"/>
    <w:rsid w:val="004B4E80"/>
    <w:rsid w:val="004C2713"/>
    <w:rsid w:val="004C790E"/>
    <w:rsid w:val="004D2F42"/>
    <w:rsid w:val="004D7658"/>
    <w:rsid w:val="004F6ECC"/>
    <w:rsid w:val="00503B23"/>
    <w:rsid w:val="00504177"/>
    <w:rsid w:val="00505FB3"/>
    <w:rsid w:val="00506150"/>
    <w:rsid w:val="005111C4"/>
    <w:rsid w:val="005117DC"/>
    <w:rsid w:val="00516AE5"/>
    <w:rsid w:val="00523EAF"/>
    <w:rsid w:val="00545691"/>
    <w:rsid w:val="005563EA"/>
    <w:rsid w:val="0055646F"/>
    <w:rsid w:val="005606E7"/>
    <w:rsid w:val="00560EF8"/>
    <w:rsid w:val="00567552"/>
    <w:rsid w:val="00570A27"/>
    <w:rsid w:val="00573BEC"/>
    <w:rsid w:val="00575428"/>
    <w:rsid w:val="00577D01"/>
    <w:rsid w:val="00577DB9"/>
    <w:rsid w:val="00577E38"/>
    <w:rsid w:val="00582ACF"/>
    <w:rsid w:val="00592686"/>
    <w:rsid w:val="0059760B"/>
    <w:rsid w:val="005A1338"/>
    <w:rsid w:val="005A25D0"/>
    <w:rsid w:val="005B28B3"/>
    <w:rsid w:val="005B29CA"/>
    <w:rsid w:val="005B478C"/>
    <w:rsid w:val="005C1994"/>
    <w:rsid w:val="005C1C3E"/>
    <w:rsid w:val="005C1C79"/>
    <w:rsid w:val="005C2A34"/>
    <w:rsid w:val="005C39A3"/>
    <w:rsid w:val="005D22B8"/>
    <w:rsid w:val="005D260B"/>
    <w:rsid w:val="005E2012"/>
    <w:rsid w:val="005E624F"/>
    <w:rsid w:val="00602253"/>
    <w:rsid w:val="00602332"/>
    <w:rsid w:val="00602FBB"/>
    <w:rsid w:val="006031F7"/>
    <w:rsid w:val="00604455"/>
    <w:rsid w:val="0060571F"/>
    <w:rsid w:val="0060605D"/>
    <w:rsid w:val="00607A8D"/>
    <w:rsid w:val="0061135C"/>
    <w:rsid w:val="00612653"/>
    <w:rsid w:val="00612793"/>
    <w:rsid w:val="006321E4"/>
    <w:rsid w:val="00632E54"/>
    <w:rsid w:val="00632EF7"/>
    <w:rsid w:val="0063751E"/>
    <w:rsid w:val="00637636"/>
    <w:rsid w:val="00646895"/>
    <w:rsid w:val="00646B72"/>
    <w:rsid w:val="0064732A"/>
    <w:rsid w:val="00650646"/>
    <w:rsid w:val="006549ED"/>
    <w:rsid w:val="00655021"/>
    <w:rsid w:val="006610B5"/>
    <w:rsid w:val="00661BD4"/>
    <w:rsid w:val="00662AE7"/>
    <w:rsid w:val="00663FFD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90C"/>
    <w:rsid w:val="00693ADE"/>
    <w:rsid w:val="0069592A"/>
    <w:rsid w:val="006A1541"/>
    <w:rsid w:val="006A1AD8"/>
    <w:rsid w:val="006B1587"/>
    <w:rsid w:val="006B3334"/>
    <w:rsid w:val="006C265D"/>
    <w:rsid w:val="006C616C"/>
    <w:rsid w:val="006C78FE"/>
    <w:rsid w:val="006D32FB"/>
    <w:rsid w:val="006D4440"/>
    <w:rsid w:val="006D46B6"/>
    <w:rsid w:val="006E598A"/>
    <w:rsid w:val="006F1066"/>
    <w:rsid w:val="006F24CD"/>
    <w:rsid w:val="006F7FA8"/>
    <w:rsid w:val="00700512"/>
    <w:rsid w:val="00701B23"/>
    <w:rsid w:val="00701E51"/>
    <w:rsid w:val="007103F2"/>
    <w:rsid w:val="0071106B"/>
    <w:rsid w:val="007119CD"/>
    <w:rsid w:val="00713235"/>
    <w:rsid w:val="00721999"/>
    <w:rsid w:val="0072383E"/>
    <w:rsid w:val="00723A96"/>
    <w:rsid w:val="007340CB"/>
    <w:rsid w:val="00740F4F"/>
    <w:rsid w:val="0074752B"/>
    <w:rsid w:val="00750C9E"/>
    <w:rsid w:val="007516F6"/>
    <w:rsid w:val="00756A64"/>
    <w:rsid w:val="007573E5"/>
    <w:rsid w:val="00764C49"/>
    <w:rsid w:val="007665A7"/>
    <w:rsid w:val="00767D45"/>
    <w:rsid w:val="00773232"/>
    <w:rsid w:val="00774096"/>
    <w:rsid w:val="00774A35"/>
    <w:rsid w:val="00784744"/>
    <w:rsid w:val="00793C4F"/>
    <w:rsid w:val="007949D0"/>
    <w:rsid w:val="00794F11"/>
    <w:rsid w:val="007A0ABB"/>
    <w:rsid w:val="007A0EA8"/>
    <w:rsid w:val="007A38EE"/>
    <w:rsid w:val="007A3E53"/>
    <w:rsid w:val="007A42E9"/>
    <w:rsid w:val="007B0173"/>
    <w:rsid w:val="007B21CC"/>
    <w:rsid w:val="007B45EF"/>
    <w:rsid w:val="007B486E"/>
    <w:rsid w:val="007B5C96"/>
    <w:rsid w:val="007B6651"/>
    <w:rsid w:val="007B74BF"/>
    <w:rsid w:val="007B7E12"/>
    <w:rsid w:val="007C5FE7"/>
    <w:rsid w:val="007D0060"/>
    <w:rsid w:val="007D25FB"/>
    <w:rsid w:val="007D3E0A"/>
    <w:rsid w:val="007D4711"/>
    <w:rsid w:val="007D4DBF"/>
    <w:rsid w:val="007D5702"/>
    <w:rsid w:val="007D7231"/>
    <w:rsid w:val="007E1968"/>
    <w:rsid w:val="007E1EE2"/>
    <w:rsid w:val="007E30A3"/>
    <w:rsid w:val="007E3E99"/>
    <w:rsid w:val="007E4317"/>
    <w:rsid w:val="007E46B5"/>
    <w:rsid w:val="007E730C"/>
    <w:rsid w:val="007E7CB1"/>
    <w:rsid w:val="007F13D1"/>
    <w:rsid w:val="007F49BB"/>
    <w:rsid w:val="007F627F"/>
    <w:rsid w:val="007F63B6"/>
    <w:rsid w:val="007F7D48"/>
    <w:rsid w:val="00802886"/>
    <w:rsid w:val="00807667"/>
    <w:rsid w:val="00807ACD"/>
    <w:rsid w:val="008162F3"/>
    <w:rsid w:val="008167B9"/>
    <w:rsid w:val="0082036F"/>
    <w:rsid w:val="00821064"/>
    <w:rsid w:val="00822A9D"/>
    <w:rsid w:val="00830288"/>
    <w:rsid w:val="00832170"/>
    <w:rsid w:val="008322B2"/>
    <w:rsid w:val="00834994"/>
    <w:rsid w:val="00841A0D"/>
    <w:rsid w:val="0084242D"/>
    <w:rsid w:val="00845847"/>
    <w:rsid w:val="00847984"/>
    <w:rsid w:val="00850D44"/>
    <w:rsid w:val="0085213E"/>
    <w:rsid w:val="0085273F"/>
    <w:rsid w:val="00853352"/>
    <w:rsid w:val="0086279F"/>
    <w:rsid w:val="008658E0"/>
    <w:rsid w:val="00865CCF"/>
    <w:rsid w:val="00866291"/>
    <w:rsid w:val="0087293C"/>
    <w:rsid w:val="00883383"/>
    <w:rsid w:val="0088387C"/>
    <w:rsid w:val="00893278"/>
    <w:rsid w:val="00893778"/>
    <w:rsid w:val="008A10D7"/>
    <w:rsid w:val="008A5F60"/>
    <w:rsid w:val="008B42CE"/>
    <w:rsid w:val="008B62C6"/>
    <w:rsid w:val="008C0B2A"/>
    <w:rsid w:val="008C1DB9"/>
    <w:rsid w:val="008C4030"/>
    <w:rsid w:val="008C40B8"/>
    <w:rsid w:val="008D1802"/>
    <w:rsid w:val="008D2889"/>
    <w:rsid w:val="008D3161"/>
    <w:rsid w:val="008D6C88"/>
    <w:rsid w:val="008D7DBF"/>
    <w:rsid w:val="008E03CD"/>
    <w:rsid w:val="008E144F"/>
    <w:rsid w:val="008E1A5B"/>
    <w:rsid w:val="008E3329"/>
    <w:rsid w:val="008E3C83"/>
    <w:rsid w:val="008E4211"/>
    <w:rsid w:val="008F4AC2"/>
    <w:rsid w:val="008F5C65"/>
    <w:rsid w:val="009022EA"/>
    <w:rsid w:val="00903D53"/>
    <w:rsid w:val="009065CE"/>
    <w:rsid w:val="009066E7"/>
    <w:rsid w:val="00907ED8"/>
    <w:rsid w:val="009173B4"/>
    <w:rsid w:val="00923EE2"/>
    <w:rsid w:val="00924200"/>
    <w:rsid w:val="00926637"/>
    <w:rsid w:val="00935106"/>
    <w:rsid w:val="00935C12"/>
    <w:rsid w:val="00935C96"/>
    <w:rsid w:val="00941DDA"/>
    <w:rsid w:val="00946493"/>
    <w:rsid w:val="00950A9F"/>
    <w:rsid w:val="00950ED8"/>
    <w:rsid w:val="00951441"/>
    <w:rsid w:val="009552C8"/>
    <w:rsid w:val="00955E27"/>
    <w:rsid w:val="00956026"/>
    <w:rsid w:val="00957554"/>
    <w:rsid w:val="00962CFB"/>
    <w:rsid w:val="00966EF8"/>
    <w:rsid w:val="00970A57"/>
    <w:rsid w:val="00972CE6"/>
    <w:rsid w:val="00975475"/>
    <w:rsid w:val="009754AF"/>
    <w:rsid w:val="00976763"/>
    <w:rsid w:val="00984B2E"/>
    <w:rsid w:val="009911BD"/>
    <w:rsid w:val="009918A6"/>
    <w:rsid w:val="0099273E"/>
    <w:rsid w:val="00994B65"/>
    <w:rsid w:val="009A1BB5"/>
    <w:rsid w:val="009A22B9"/>
    <w:rsid w:val="009A239D"/>
    <w:rsid w:val="009A2747"/>
    <w:rsid w:val="009A3F2A"/>
    <w:rsid w:val="009B3DDD"/>
    <w:rsid w:val="009B62C6"/>
    <w:rsid w:val="009B6B1D"/>
    <w:rsid w:val="009C211D"/>
    <w:rsid w:val="009C2C5E"/>
    <w:rsid w:val="009C4571"/>
    <w:rsid w:val="009D1D52"/>
    <w:rsid w:val="009D4B13"/>
    <w:rsid w:val="009D622A"/>
    <w:rsid w:val="009E1AD8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8CA"/>
    <w:rsid w:val="00A13C30"/>
    <w:rsid w:val="00A256EE"/>
    <w:rsid w:val="00A25EAF"/>
    <w:rsid w:val="00A318FD"/>
    <w:rsid w:val="00A31A53"/>
    <w:rsid w:val="00A32DA7"/>
    <w:rsid w:val="00A36E4E"/>
    <w:rsid w:val="00A37DBC"/>
    <w:rsid w:val="00A40E88"/>
    <w:rsid w:val="00A42F47"/>
    <w:rsid w:val="00A51A11"/>
    <w:rsid w:val="00A53BAB"/>
    <w:rsid w:val="00A55925"/>
    <w:rsid w:val="00A615FE"/>
    <w:rsid w:val="00A62ADB"/>
    <w:rsid w:val="00A66478"/>
    <w:rsid w:val="00A66BBE"/>
    <w:rsid w:val="00A71CF0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7D6B"/>
    <w:rsid w:val="00AB09B3"/>
    <w:rsid w:val="00AB500C"/>
    <w:rsid w:val="00AB5246"/>
    <w:rsid w:val="00AB5836"/>
    <w:rsid w:val="00AB5ED4"/>
    <w:rsid w:val="00AC423C"/>
    <w:rsid w:val="00AC4A81"/>
    <w:rsid w:val="00AC56E7"/>
    <w:rsid w:val="00AC6F7A"/>
    <w:rsid w:val="00AD12EB"/>
    <w:rsid w:val="00AD2C3E"/>
    <w:rsid w:val="00AD37E3"/>
    <w:rsid w:val="00AD3A4B"/>
    <w:rsid w:val="00AD4A34"/>
    <w:rsid w:val="00AD5417"/>
    <w:rsid w:val="00AD74EF"/>
    <w:rsid w:val="00AE5E2A"/>
    <w:rsid w:val="00AF00E4"/>
    <w:rsid w:val="00AF1068"/>
    <w:rsid w:val="00AF4B0C"/>
    <w:rsid w:val="00AF6429"/>
    <w:rsid w:val="00AF66BC"/>
    <w:rsid w:val="00B02C70"/>
    <w:rsid w:val="00B03627"/>
    <w:rsid w:val="00B07DEA"/>
    <w:rsid w:val="00B10CED"/>
    <w:rsid w:val="00B11893"/>
    <w:rsid w:val="00B13D34"/>
    <w:rsid w:val="00B23A72"/>
    <w:rsid w:val="00B267C6"/>
    <w:rsid w:val="00B307E1"/>
    <w:rsid w:val="00B3762E"/>
    <w:rsid w:val="00B37E82"/>
    <w:rsid w:val="00B4008B"/>
    <w:rsid w:val="00B41C5B"/>
    <w:rsid w:val="00B4211C"/>
    <w:rsid w:val="00B44B8A"/>
    <w:rsid w:val="00B5653A"/>
    <w:rsid w:val="00B56B21"/>
    <w:rsid w:val="00B5751E"/>
    <w:rsid w:val="00B61D2F"/>
    <w:rsid w:val="00B655D8"/>
    <w:rsid w:val="00B71212"/>
    <w:rsid w:val="00B73150"/>
    <w:rsid w:val="00B7480C"/>
    <w:rsid w:val="00B75812"/>
    <w:rsid w:val="00B76A8D"/>
    <w:rsid w:val="00B76CA8"/>
    <w:rsid w:val="00B80571"/>
    <w:rsid w:val="00B81191"/>
    <w:rsid w:val="00B81284"/>
    <w:rsid w:val="00B84BE6"/>
    <w:rsid w:val="00B86E20"/>
    <w:rsid w:val="00B92B47"/>
    <w:rsid w:val="00B93D13"/>
    <w:rsid w:val="00B9679E"/>
    <w:rsid w:val="00B96A95"/>
    <w:rsid w:val="00BA1A0A"/>
    <w:rsid w:val="00BA5A60"/>
    <w:rsid w:val="00BB1E4D"/>
    <w:rsid w:val="00BB5FBE"/>
    <w:rsid w:val="00BB753A"/>
    <w:rsid w:val="00BC1577"/>
    <w:rsid w:val="00BD1FDB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682C"/>
    <w:rsid w:val="00C071E4"/>
    <w:rsid w:val="00C122AE"/>
    <w:rsid w:val="00C127A4"/>
    <w:rsid w:val="00C12CB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5FB3"/>
    <w:rsid w:val="00C50054"/>
    <w:rsid w:val="00C52852"/>
    <w:rsid w:val="00C63A2B"/>
    <w:rsid w:val="00C65D3B"/>
    <w:rsid w:val="00C702FF"/>
    <w:rsid w:val="00C764E1"/>
    <w:rsid w:val="00C824A7"/>
    <w:rsid w:val="00C84F43"/>
    <w:rsid w:val="00C855AA"/>
    <w:rsid w:val="00C85E60"/>
    <w:rsid w:val="00C865F6"/>
    <w:rsid w:val="00C872D5"/>
    <w:rsid w:val="00C87AE2"/>
    <w:rsid w:val="00C97408"/>
    <w:rsid w:val="00C975B5"/>
    <w:rsid w:val="00C97C20"/>
    <w:rsid w:val="00CA0C2D"/>
    <w:rsid w:val="00CA7854"/>
    <w:rsid w:val="00CB0DA2"/>
    <w:rsid w:val="00CB2798"/>
    <w:rsid w:val="00CB397E"/>
    <w:rsid w:val="00CB5A43"/>
    <w:rsid w:val="00CC0E4D"/>
    <w:rsid w:val="00CC1DB2"/>
    <w:rsid w:val="00CC4FF2"/>
    <w:rsid w:val="00CC68D9"/>
    <w:rsid w:val="00CC7603"/>
    <w:rsid w:val="00CC76DD"/>
    <w:rsid w:val="00CD5AD6"/>
    <w:rsid w:val="00CE08DB"/>
    <w:rsid w:val="00CE7309"/>
    <w:rsid w:val="00CE7792"/>
    <w:rsid w:val="00CF0A7D"/>
    <w:rsid w:val="00CF222A"/>
    <w:rsid w:val="00CF346A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D11"/>
    <w:rsid w:val="00D17DDE"/>
    <w:rsid w:val="00D21E97"/>
    <w:rsid w:val="00D256D0"/>
    <w:rsid w:val="00D33CFD"/>
    <w:rsid w:val="00D3712A"/>
    <w:rsid w:val="00D4052C"/>
    <w:rsid w:val="00D428EB"/>
    <w:rsid w:val="00D42FED"/>
    <w:rsid w:val="00D5654C"/>
    <w:rsid w:val="00D63F1D"/>
    <w:rsid w:val="00D64EDE"/>
    <w:rsid w:val="00D651C6"/>
    <w:rsid w:val="00D726E1"/>
    <w:rsid w:val="00D807CB"/>
    <w:rsid w:val="00D8658C"/>
    <w:rsid w:val="00D867D9"/>
    <w:rsid w:val="00D87541"/>
    <w:rsid w:val="00D87663"/>
    <w:rsid w:val="00D92D6B"/>
    <w:rsid w:val="00D94CFD"/>
    <w:rsid w:val="00D95A8B"/>
    <w:rsid w:val="00D968F5"/>
    <w:rsid w:val="00DA0B10"/>
    <w:rsid w:val="00DA20EA"/>
    <w:rsid w:val="00DA36D7"/>
    <w:rsid w:val="00DA47F5"/>
    <w:rsid w:val="00DA6B64"/>
    <w:rsid w:val="00DB0698"/>
    <w:rsid w:val="00DB4914"/>
    <w:rsid w:val="00DC1E55"/>
    <w:rsid w:val="00DC39F0"/>
    <w:rsid w:val="00DC4152"/>
    <w:rsid w:val="00DC7B52"/>
    <w:rsid w:val="00DD19FB"/>
    <w:rsid w:val="00DD454C"/>
    <w:rsid w:val="00DE1203"/>
    <w:rsid w:val="00DE1E64"/>
    <w:rsid w:val="00DF013C"/>
    <w:rsid w:val="00DF3FB5"/>
    <w:rsid w:val="00DF5070"/>
    <w:rsid w:val="00E00897"/>
    <w:rsid w:val="00E015AD"/>
    <w:rsid w:val="00E03023"/>
    <w:rsid w:val="00E04B9A"/>
    <w:rsid w:val="00E07006"/>
    <w:rsid w:val="00E14500"/>
    <w:rsid w:val="00E205FD"/>
    <w:rsid w:val="00E2248B"/>
    <w:rsid w:val="00E24FDF"/>
    <w:rsid w:val="00E27BA7"/>
    <w:rsid w:val="00E309B9"/>
    <w:rsid w:val="00E36F3B"/>
    <w:rsid w:val="00E371C3"/>
    <w:rsid w:val="00E373CC"/>
    <w:rsid w:val="00E41A38"/>
    <w:rsid w:val="00E41AC1"/>
    <w:rsid w:val="00E435D0"/>
    <w:rsid w:val="00E4631C"/>
    <w:rsid w:val="00E51091"/>
    <w:rsid w:val="00E53C80"/>
    <w:rsid w:val="00E54247"/>
    <w:rsid w:val="00E553C1"/>
    <w:rsid w:val="00E56ADF"/>
    <w:rsid w:val="00E56D42"/>
    <w:rsid w:val="00E61C4B"/>
    <w:rsid w:val="00E6337A"/>
    <w:rsid w:val="00E65290"/>
    <w:rsid w:val="00E66FBB"/>
    <w:rsid w:val="00E70238"/>
    <w:rsid w:val="00E71155"/>
    <w:rsid w:val="00E720D6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ABE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7F97"/>
    <w:rsid w:val="00ED0EA7"/>
    <w:rsid w:val="00ED5122"/>
    <w:rsid w:val="00ED55D9"/>
    <w:rsid w:val="00ED5A21"/>
    <w:rsid w:val="00ED7703"/>
    <w:rsid w:val="00ED7C4E"/>
    <w:rsid w:val="00EE1EB1"/>
    <w:rsid w:val="00EE39FA"/>
    <w:rsid w:val="00EE3AA0"/>
    <w:rsid w:val="00EE4EFB"/>
    <w:rsid w:val="00EF2C32"/>
    <w:rsid w:val="00EF5449"/>
    <w:rsid w:val="00EF7508"/>
    <w:rsid w:val="00F0279B"/>
    <w:rsid w:val="00F05B99"/>
    <w:rsid w:val="00F12BDA"/>
    <w:rsid w:val="00F139F7"/>
    <w:rsid w:val="00F17DA1"/>
    <w:rsid w:val="00F20936"/>
    <w:rsid w:val="00F23113"/>
    <w:rsid w:val="00F25464"/>
    <w:rsid w:val="00F25D65"/>
    <w:rsid w:val="00F35D22"/>
    <w:rsid w:val="00F4268B"/>
    <w:rsid w:val="00F42FFF"/>
    <w:rsid w:val="00F50C9A"/>
    <w:rsid w:val="00F52AC1"/>
    <w:rsid w:val="00F52B09"/>
    <w:rsid w:val="00F52F64"/>
    <w:rsid w:val="00F56D39"/>
    <w:rsid w:val="00F6232D"/>
    <w:rsid w:val="00F627DD"/>
    <w:rsid w:val="00F642F0"/>
    <w:rsid w:val="00F6457A"/>
    <w:rsid w:val="00F64865"/>
    <w:rsid w:val="00F75019"/>
    <w:rsid w:val="00F77F9E"/>
    <w:rsid w:val="00F80CBF"/>
    <w:rsid w:val="00F81226"/>
    <w:rsid w:val="00F81879"/>
    <w:rsid w:val="00F8342E"/>
    <w:rsid w:val="00F83FFE"/>
    <w:rsid w:val="00F87D84"/>
    <w:rsid w:val="00F91985"/>
    <w:rsid w:val="00F91BFF"/>
    <w:rsid w:val="00F93828"/>
    <w:rsid w:val="00F93854"/>
    <w:rsid w:val="00FA669A"/>
    <w:rsid w:val="00FB086B"/>
    <w:rsid w:val="00FB10B3"/>
    <w:rsid w:val="00FB1C8F"/>
    <w:rsid w:val="00FB643B"/>
    <w:rsid w:val="00FB7853"/>
    <w:rsid w:val="00FC1158"/>
    <w:rsid w:val="00FC3DB4"/>
    <w:rsid w:val="00FD4C50"/>
    <w:rsid w:val="00FE45D7"/>
    <w:rsid w:val="00FE64EA"/>
    <w:rsid w:val="00FF3917"/>
    <w:rsid w:val="00FF4929"/>
    <w:rsid w:val="00FF59ED"/>
    <w:rsid w:val="00FF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D1FBD-D77C-45CD-B727-C8B568D6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2015-05-06T11:32:00Z</cp:lastPrinted>
  <dcterms:created xsi:type="dcterms:W3CDTF">2015-08-26T13:42:00Z</dcterms:created>
  <dcterms:modified xsi:type="dcterms:W3CDTF">2015-08-26T13:42:00Z</dcterms:modified>
</cp:coreProperties>
</file>